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642" w:rsidRDefault="00596642" w:rsidP="00596642">
      <w:pPr>
        <w:pStyle w:val="NoSpacing"/>
      </w:pPr>
    </w:p>
    <w:p w:rsidR="00596642" w:rsidRDefault="00596642" w:rsidP="00596642">
      <w:pPr>
        <w:pStyle w:val="NoSpacing"/>
      </w:pPr>
    </w:p>
    <w:p w:rsidR="00596642" w:rsidRDefault="00596642" w:rsidP="00596642">
      <w:pPr>
        <w:pStyle w:val="Title"/>
      </w:pPr>
      <w:bookmarkStart w:id="0" w:name="_Toc417300390"/>
      <w:bookmarkStart w:id="1" w:name="_Toc417307188"/>
      <w:bookmarkStart w:id="2" w:name="_Toc417370069"/>
      <w:bookmarkStart w:id="3" w:name="_Toc417371200"/>
      <w:bookmarkStart w:id="4" w:name="_Toc417373409"/>
    </w:p>
    <w:p w:rsidR="00596642" w:rsidRDefault="00596642" w:rsidP="00596642">
      <w:pPr>
        <w:pStyle w:val="Title"/>
      </w:pPr>
      <w:bookmarkStart w:id="5" w:name="_Toc417388481"/>
      <w:bookmarkStart w:id="6" w:name="_Toc417458467"/>
      <w:bookmarkStart w:id="7" w:name="_Toc417467521"/>
      <w:bookmarkStart w:id="8" w:name="_Toc417551333"/>
      <w:bookmarkStart w:id="9" w:name="_Toc417656710"/>
      <w:bookmarkStart w:id="10" w:name="_Toc417656754"/>
      <w:bookmarkStart w:id="11" w:name="_Toc417982604"/>
      <w:bookmarkStart w:id="12" w:name="_Toc418085270"/>
      <w:bookmarkStart w:id="13" w:name="_Toc418139959"/>
      <w:bookmarkStart w:id="14" w:name="_Toc418768586"/>
      <w:r>
        <w:t xml:space="preserve">Criteria for </w:t>
      </w:r>
      <w:r w:rsidR="00235C45">
        <w:t>A</w:t>
      </w:r>
      <w:r w:rsidR="007A1ADE">
        <w:t xml:space="preserve">ccepting </w:t>
      </w:r>
      <w:r>
        <w:t>International Standards</w:t>
      </w:r>
      <w:bookmarkEnd w:id="0"/>
      <w:bookmarkEnd w:id="1"/>
      <w:bookmarkEnd w:id="2"/>
      <w:bookmarkEnd w:id="3"/>
      <w:bookmarkEnd w:id="4"/>
      <w:bookmarkEnd w:id="5"/>
      <w:bookmarkEnd w:id="6"/>
      <w:bookmarkEnd w:id="7"/>
      <w:r w:rsidR="006E72AB">
        <w:t xml:space="preserve"> and Risk Assessments</w:t>
      </w:r>
      <w:r>
        <w:t xml:space="preserve"> for Product Safety</w:t>
      </w:r>
      <w:bookmarkEnd w:id="8"/>
      <w:bookmarkEnd w:id="9"/>
      <w:bookmarkEnd w:id="10"/>
      <w:bookmarkEnd w:id="11"/>
      <w:bookmarkEnd w:id="12"/>
      <w:bookmarkEnd w:id="13"/>
      <w:bookmarkEnd w:id="14"/>
    </w:p>
    <w:p w:rsidR="00596642" w:rsidRDefault="00596642" w:rsidP="00596642">
      <w:pPr>
        <w:pStyle w:val="Subtitle"/>
      </w:pPr>
    </w:p>
    <w:p w:rsidR="00596642" w:rsidRDefault="00596642" w:rsidP="00596642">
      <w:pPr>
        <w:pStyle w:val="Subtitle"/>
      </w:pPr>
      <w:r>
        <w:t xml:space="preserve">ACCC </w:t>
      </w:r>
      <w:bookmarkStart w:id="15" w:name="_GoBack"/>
      <w:bookmarkEnd w:id="15"/>
      <w:r w:rsidR="00235C45">
        <w:t>Consultation P</w:t>
      </w:r>
      <w:r>
        <w:t>aper</w:t>
      </w:r>
    </w:p>
    <w:p w:rsidR="00596642" w:rsidRDefault="00596642" w:rsidP="00596642">
      <w:pPr>
        <w:rPr>
          <w:rStyle w:val="Emphasis"/>
        </w:rPr>
      </w:pPr>
    </w:p>
    <w:p w:rsidR="00596642" w:rsidRPr="00485AF7" w:rsidRDefault="00596642" w:rsidP="00596642">
      <w:pPr>
        <w:rPr>
          <w:rStyle w:val="Emphasis"/>
        </w:rPr>
      </w:pPr>
      <w:r>
        <w:rPr>
          <w:rStyle w:val="Emphasis"/>
        </w:rPr>
        <w:t>11</w:t>
      </w:r>
      <w:r w:rsidRPr="00485AF7">
        <w:rPr>
          <w:rStyle w:val="Emphasis"/>
        </w:rPr>
        <w:t xml:space="preserve"> May 2015 </w:t>
      </w:r>
    </w:p>
    <w:p w:rsidR="00596642" w:rsidRDefault="00596642" w:rsidP="00596642"/>
    <w:p w:rsidR="00596642" w:rsidRDefault="00596642" w:rsidP="00596642">
      <w:pPr>
        <w:spacing w:before="200" w:after="0" w:line="240" w:lineRule="auto"/>
        <w:rPr>
          <w:rFonts w:ascii="Arial" w:eastAsiaTheme="majorEastAsia" w:hAnsi="Arial" w:cstheme="majorBidi"/>
          <w:b/>
          <w:bCs/>
          <w:color w:val="51626F"/>
          <w:sz w:val="28"/>
          <w:szCs w:val="26"/>
        </w:rPr>
      </w:pPr>
      <w:r>
        <w:br w:type="page"/>
      </w:r>
    </w:p>
    <w:p w:rsidR="00596642" w:rsidRPr="00296607" w:rsidRDefault="00596642" w:rsidP="00596642">
      <w:pPr>
        <w:pStyle w:val="Heading1"/>
      </w:pPr>
      <w:bookmarkStart w:id="16" w:name="_Toc417300391"/>
      <w:bookmarkStart w:id="17" w:name="_Toc417307189"/>
      <w:bookmarkStart w:id="18" w:name="_Toc417370070"/>
      <w:bookmarkStart w:id="19" w:name="_Toc417371201"/>
      <w:bookmarkStart w:id="20" w:name="_Toc417373410"/>
      <w:bookmarkStart w:id="21" w:name="_Toc417387195"/>
      <w:bookmarkStart w:id="22" w:name="_Toc417388482"/>
      <w:bookmarkStart w:id="23" w:name="_Toc417458468"/>
      <w:bookmarkStart w:id="24" w:name="_Toc417467522"/>
      <w:bookmarkStart w:id="25" w:name="_Toc417551334"/>
      <w:bookmarkStart w:id="26" w:name="_Toc417561898"/>
      <w:bookmarkStart w:id="27" w:name="_Toc417656711"/>
      <w:bookmarkStart w:id="28" w:name="_Toc417656755"/>
      <w:bookmarkStart w:id="29" w:name="_Toc417982605"/>
      <w:bookmarkStart w:id="30" w:name="_Toc418085271"/>
      <w:bookmarkStart w:id="31" w:name="_Toc418139960"/>
      <w:bookmarkStart w:id="32" w:name="_Toc418768587"/>
      <w:r>
        <w:lastRenderedPageBreak/>
        <w:t>Contents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sdt>
      <w:sdtPr>
        <w:rPr>
          <w:rFonts w:ascii="Arial" w:eastAsiaTheme="minorHAnsi" w:hAnsi="Arial"/>
          <w:noProof w:val="0"/>
          <w:lang w:val="en-AU" w:eastAsia="en-US"/>
        </w:rPr>
        <w:id w:val="-633028175"/>
        <w:docPartObj>
          <w:docPartGallery w:val="Table of Contents"/>
          <w:docPartUnique/>
        </w:docPartObj>
      </w:sdtPr>
      <w:sdtEndPr>
        <w:rPr>
          <w:rFonts w:asciiTheme="minorHAnsi" w:eastAsiaTheme="minorEastAsia" w:hAnsiTheme="minorHAnsi"/>
          <w:b/>
        </w:rPr>
      </w:sdtEndPr>
      <w:sdtContent>
        <w:p w:rsidR="0030063D" w:rsidRDefault="00596642" w:rsidP="0030063D">
          <w:pPr>
            <w:pStyle w:val="TOC1"/>
            <w:rPr>
              <w:lang w:val="en-AU" w:eastAsia="en-AU"/>
            </w:rPr>
          </w:pPr>
          <w:r>
            <w:rPr>
              <w:rFonts w:ascii="Arial" w:eastAsiaTheme="minorHAnsi" w:hAnsi="Arial"/>
            </w:rPr>
            <w:fldChar w:fldCharType="begin"/>
          </w:r>
          <w:r>
            <w:instrText xml:space="preserve"> TOC \o \h \z \u </w:instrText>
          </w:r>
          <w:r>
            <w:rPr>
              <w:rFonts w:ascii="Arial" w:eastAsiaTheme="minorHAnsi" w:hAnsi="Arial"/>
            </w:rPr>
            <w:fldChar w:fldCharType="separate"/>
          </w:r>
        </w:p>
        <w:p w:rsidR="0030063D" w:rsidRDefault="00D74D9F">
          <w:pPr>
            <w:pStyle w:val="TOC1"/>
            <w:rPr>
              <w:lang w:val="en-AU" w:eastAsia="en-AU"/>
            </w:rPr>
          </w:pPr>
          <w:hyperlink w:anchor="_Toc418768588" w:history="1">
            <w:r w:rsidR="0030063D" w:rsidRPr="0070141C">
              <w:rPr>
                <w:rStyle w:val="Hyperlink"/>
              </w:rPr>
              <w:t>1.</w:t>
            </w:r>
            <w:r w:rsidR="0030063D">
              <w:rPr>
                <w:lang w:val="en-AU" w:eastAsia="en-AU"/>
              </w:rPr>
              <w:tab/>
            </w:r>
            <w:r w:rsidR="0030063D" w:rsidRPr="0070141C">
              <w:rPr>
                <w:rStyle w:val="Hyperlink"/>
              </w:rPr>
              <w:t>Introduction</w:t>
            </w:r>
            <w:r w:rsidR="0030063D">
              <w:rPr>
                <w:webHidden/>
              </w:rPr>
              <w:tab/>
            </w:r>
            <w:r w:rsidR="0030063D">
              <w:rPr>
                <w:webHidden/>
              </w:rPr>
              <w:fldChar w:fldCharType="begin"/>
            </w:r>
            <w:r w:rsidR="0030063D">
              <w:rPr>
                <w:webHidden/>
              </w:rPr>
              <w:instrText xml:space="preserve"> PAGEREF _Toc418768588 \h </w:instrText>
            </w:r>
            <w:r w:rsidR="0030063D">
              <w:rPr>
                <w:webHidden/>
              </w:rPr>
            </w:r>
            <w:r w:rsidR="0030063D">
              <w:rPr>
                <w:webHidden/>
              </w:rPr>
              <w:fldChar w:fldCharType="separate"/>
            </w:r>
            <w:r>
              <w:rPr>
                <w:webHidden/>
              </w:rPr>
              <w:t>3</w:t>
            </w:r>
            <w:r w:rsidR="0030063D">
              <w:rPr>
                <w:webHidden/>
              </w:rPr>
              <w:fldChar w:fldCharType="end"/>
            </w:r>
          </w:hyperlink>
        </w:p>
        <w:p w:rsidR="0030063D" w:rsidRDefault="00D74D9F">
          <w:pPr>
            <w:pStyle w:val="TOC1"/>
            <w:rPr>
              <w:lang w:val="en-AU" w:eastAsia="en-AU"/>
            </w:rPr>
          </w:pPr>
          <w:hyperlink w:anchor="_Toc418768589" w:history="1">
            <w:r w:rsidR="0030063D" w:rsidRPr="0070141C">
              <w:rPr>
                <w:rStyle w:val="Hyperlink"/>
              </w:rPr>
              <w:t>2.</w:t>
            </w:r>
            <w:r w:rsidR="0030063D">
              <w:rPr>
                <w:lang w:val="en-AU" w:eastAsia="en-AU"/>
              </w:rPr>
              <w:tab/>
            </w:r>
            <w:r w:rsidR="0030063D" w:rsidRPr="0070141C">
              <w:rPr>
                <w:rStyle w:val="Hyperlink"/>
              </w:rPr>
              <w:t>Consultation</w:t>
            </w:r>
            <w:r w:rsidR="0030063D">
              <w:rPr>
                <w:webHidden/>
              </w:rPr>
              <w:tab/>
            </w:r>
            <w:r w:rsidR="0030063D">
              <w:rPr>
                <w:webHidden/>
              </w:rPr>
              <w:fldChar w:fldCharType="begin"/>
            </w:r>
            <w:r w:rsidR="0030063D">
              <w:rPr>
                <w:webHidden/>
              </w:rPr>
              <w:instrText xml:space="preserve"> PAGEREF _Toc418768589 \h </w:instrText>
            </w:r>
            <w:r w:rsidR="0030063D">
              <w:rPr>
                <w:webHidden/>
              </w:rPr>
            </w:r>
            <w:r w:rsidR="0030063D">
              <w:rPr>
                <w:webHidden/>
              </w:rPr>
              <w:fldChar w:fldCharType="separate"/>
            </w:r>
            <w:r>
              <w:rPr>
                <w:webHidden/>
              </w:rPr>
              <w:t>4</w:t>
            </w:r>
            <w:r w:rsidR="0030063D">
              <w:rPr>
                <w:webHidden/>
              </w:rPr>
              <w:fldChar w:fldCharType="end"/>
            </w:r>
          </w:hyperlink>
        </w:p>
        <w:p w:rsidR="0030063D" w:rsidRDefault="00D74D9F">
          <w:pPr>
            <w:pStyle w:val="TOC1"/>
            <w:rPr>
              <w:lang w:val="en-AU" w:eastAsia="en-AU"/>
            </w:rPr>
          </w:pPr>
          <w:hyperlink w:anchor="_Toc418768590" w:history="1">
            <w:r w:rsidR="0030063D" w:rsidRPr="0070141C">
              <w:rPr>
                <w:rStyle w:val="Hyperlink"/>
              </w:rPr>
              <w:t>3.</w:t>
            </w:r>
            <w:r w:rsidR="0030063D">
              <w:rPr>
                <w:lang w:val="en-AU" w:eastAsia="en-AU"/>
              </w:rPr>
              <w:tab/>
            </w:r>
            <w:r w:rsidR="0030063D" w:rsidRPr="0070141C">
              <w:rPr>
                <w:rStyle w:val="Hyperlink"/>
              </w:rPr>
              <w:t>Background</w:t>
            </w:r>
            <w:r w:rsidR="0030063D">
              <w:rPr>
                <w:webHidden/>
              </w:rPr>
              <w:tab/>
            </w:r>
            <w:r w:rsidR="0030063D">
              <w:rPr>
                <w:webHidden/>
              </w:rPr>
              <w:fldChar w:fldCharType="begin"/>
            </w:r>
            <w:r w:rsidR="0030063D">
              <w:rPr>
                <w:webHidden/>
              </w:rPr>
              <w:instrText xml:space="preserve"> PAGEREF _Toc418768590 \h </w:instrText>
            </w:r>
            <w:r w:rsidR="0030063D">
              <w:rPr>
                <w:webHidden/>
              </w:rPr>
            </w:r>
            <w:r w:rsidR="0030063D">
              <w:rPr>
                <w:webHidden/>
              </w:rPr>
              <w:fldChar w:fldCharType="separate"/>
            </w:r>
            <w:r>
              <w:rPr>
                <w:webHidden/>
              </w:rPr>
              <w:t>5</w:t>
            </w:r>
            <w:r w:rsidR="0030063D">
              <w:rPr>
                <w:webHidden/>
              </w:rPr>
              <w:fldChar w:fldCharType="end"/>
            </w:r>
          </w:hyperlink>
        </w:p>
        <w:p w:rsidR="0030063D" w:rsidRDefault="00D74D9F">
          <w:pPr>
            <w:pStyle w:val="TOC2"/>
            <w:rPr>
              <w:lang w:eastAsia="en-AU"/>
            </w:rPr>
          </w:pPr>
          <w:hyperlink w:anchor="_Toc418768591" w:history="1">
            <w:r w:rsidR="0030063D" w:rsidRPr="0070141C">
              <w:rPr>
                <w:rStyle w:val="Hyperlink"/>
              </w:rPr>
              <w:t>3.1.</w:t>
            </w:r>
            <w:r w:rsidR="0030063D">
              <w:rPr>
                <w:lang w:eastAsia="en-AU"/>
              </w:rPr>
              <w:tab/>
            </w:r>
            <w:r w:rsidR="0030063D" w:rsidRPr="0070141C">
              <w:rPr>
                <w:rStyle w:val="Hyperlink"/>
              </w:rPr>
              <w:t>Australian Consumer Law</w:t>
            </w:r>
            <w:r w:rsidR="0030063D">
              <w:rPr>
                <w:webHidden/>
              </w:rPr>
              <w:tab/>
            </w:r>
            <w:r w:rsidR="0030063D">
              <w:rPr>
                <w:webHidden/>
              </w:rPr>
              <w:fldChar w:fldCharType="begin"/>
            </w:r>
            <w:r w:rsidR="0030063D">
              <w:rPr>
                <w:webHidden/>
              </w:rPr>
              <w:instrText xml:space="preserve"> PAGEREF _Toc418768591 \h </w:instrText>
            </w:r>
            <w:r w:rsidR="0030063D">
              <w:rPr>
                <w:webHidden/>
              </w:rPr>
            </w:r>
            <w:r w:rsidR="0030063D">
              <w:rPr>
                <w:webHidden/>
              </w:rPr>
              <w:fldChar w:fldCharType="separate"/>
            </w:r>
            <w:r>
              <w:rPr>
                <w:webHidden/>
              </w:rPr>
              <w:t>5</w:t>
            </w:r>
            <w:r w:rsidR="0030063D">
              <w:rPr>
                <w:webHidden/>
              </w:rPr>
              <w:fldChar w:fldCharType="end"/>
            </w:r>
          </w:hyperlink>
        </w:p>
        <w:p w:rsidR="0030063D" w:rsidRDefault="00D74D9F">
          <w:pPr>
            <w:pStyle w:val="TOC2"/>
            <w:rPr>
              <w:lang w:eastAsia="en-AU"/>
            </w:rPr>
          </w:pPr>
          <w:hyperlink w:anchor="_Toc418768592" w:history="1">
            <w:r w:rsidR="0030063D" w:rsidRPr="0070141C">
              <w:rPr>
                <w:rStyle w:val="Hyperlink"/>
              </w:rPr>
              <w:t>3.2.</w:t>
            </w:r>
            <w:r w:rsidR="0030063D">
              <w:rPr>
                <w:lang w:eastAsia="en-AU"/>
              </w:rPr>
              <w:tab/>
            </w:r>
            <w:r w:rsidR="0030063D" w:rsidRPr="0070141C">
              <w:rPr>
                <w:rStyle w:val="Hyperlink"/>
              </w:rPr>
              <w:t>Current engagement with international standards and risk assessments</w:t>
            </w:r>
            <w:r w:rsidR="0030063D">
              <w:rPr>
                <w:webHidden/>
              </w:rPr>
              <w:tab/>
            </w:r>
            <w:r w:rsidR="0030063D">
              <w:rPr>
                <w:webHidden/>
              </w:rPr>
              <w:fldChar w:fldCharType="begin"/>
            </w:r>
            <w:r w:rsidR="0030063D">
              <w:rPr>
                <w:webHidden/>
              </w:rPr>
              <w:instrText xml:space="preserve"> PAGEREF _Toc418768592 \h </w:instrText>
            </w:r>
            <w:r w:rsidR="0030063D">
              <w:rPr>
                <w:webHidden/>
              </w:rPr>
            </w:r>
            <w:r w:rsidR="0030063D">
              <w:rPr>
                <w:webHidden/>
              </w:rPr>
              <w:fldChar w:fldCharType="separate"/>
            </w:r>
            <w:r>
              <w:rPr>
                <w:webHidden/>
              </w:rPr>
              <w:t>6</w:t>
            </w:r>
            <w:r w:rsidR="0030063D">
              <w:rPr>
                <w:webHidden/>
              </w:rPr>
              <w:fldChar w:fldCharType="end"/>
            </w:r>
          </w:hyperlink>
        </w:p>
        <w:p w:rsidR="0030063D" w:rsidRDefault="00D74D9F">
          <w:pPr>
            <w:pStyle w:val="TOC2"/>
            <w:rPr>
              <w:lang w:eastAsia="en-AU"/>
            </w:rPr>
          </w:pPr>
          <w:hyperlink w:anchor="_Toc418768593" w:history="1">
            <w:r w:rsidR="0030063D" w:rsidRPr="0070141C">
              <w:rPr>
                <w:rStyle w:val="Hyperlink"/>
                <w:lang w:eastAsia="en-AU"/>
              </w:rPr>
              <w:t>3.3.</w:t>
            </w:r>
            <w:r w:rsidR="0030063D">
              <w:rPr>
                <w:lang w:eastAsia="en-AU"/>
              </w:rPr>
              <w:tab/>
            </w:r>
            <w:r w:rsidR="0030063D" w:rsidRPr="0070141C">
              <w:rPr>
                <w:rStyle w:val="Hyperlink"/>
                <w:lang w:eastAsia="en-AU"/>
              </w:rPr>
              <w:t>WTO Agreement on Technical Barriers to Trade</w:t>
            </w:r>
            <w:r w:rsidR="0030063D">
              <w:rPr>
                <w:webHidden/>
              </w:rPr>
              <w:tab/>
            </w:r>
            <w:r w:rsidR="0030063D">
              <w:rPr>
                <w:webHidden/>
              </w:rPr>
              <w:fldChar w:fldCharType="begin"/>
            </w:r>
            <w:r w:rsidR="0030063D">
              <w:rPr>
                <w:webHidden/>
              </w:rPr>
              <w:instrText xml:space="preserve"> PAGEREF _Toc418768593 \h </w:instrText>
            </w:r>
            <w:r w:rsidR="0030063D">
              <w:rPr>
                <w:webHidden/>
              </w:rPr>
            </w:r>
            <w:r w:rsidR="0030063D">
              <w:rPr>
                <w:webHidden/>
              </w:rPr>
              <w:fldChar w:fldCharType="separate"/>
            </w:r>
            <w:r>
              <w:rPr>
                <w:webHidden/>
              </w:rPr>
              <w:t>6</w:t>
            </w:r>
            <w:r w:rsidR="0030063D">
              <w:rPr>
                <w:webHidden/>
              </w:rPr>
              <w:fldChar w:fldCharType="end"/>
            </w:r>
          </w:hyperlink>
        </w:p>
        <w:p w:rsidR="0030063D" w:rsidRDefault="00D74D9F">
          <w:pPr>
            <w:pStyle w:val="TOC2"/>
            <w:rPr>
              <w:lang w:eastAsia="en-AU"/>
            </w:rPr>
          </w:pPr>
          <w:hyperlink w:anchor="_Toc418768594" w:history="1">
            <w:r w:rsidR="0030063D" w:rsidRPr="0070141C">
              <w:rPr>
                <w:rStyle w:val="Hyperlink"/>
                <w:lang w:eastAsia="en-AU"/>
              </w:rPr>
              <w:t>3.4.</w:t>
            </w:r>
            <w:r w:rsidR="0030063D">
              <w:rPr>
                <w:lang w:eastAsia="en-AU"/>
              </w:rPr>
              <w:tab/>
            </w:r>
            <w:r w:rsidR="0030063D" w:rsidRPr="0070141C">
              <w:rPr>
                <w:rStyle w:val="Hyperlink"/>
                <w:lang w:eastAsia="en-AU"/>
              </w:rPr>
              <w:t>Australian Standards</w:t>
            </w:r>
            <w:r w:rsidR="0030063D">
              <w:rPr>
                <w:webHidden/>
              </w:rPr>
              <w:tab/>
            </w:r>
            <w:r w:rsidR="0030063D">
              <w:rPr>
                <w:webHidden/>
              </w:rPr>
              <w:fldChar w:fldCharType="begin"/>
            </w:r>
            <w:r w:rsidR="0030063D">
              <w:rPr>
                <w:webHidden/>
              </w:rPr>
              <w:instrText xml:space="preserve"> PAGEREF _Toc418768594 \h </w:instrText>
            </w:r>
            <w:r w:rsidR="0030063D">
              <w:rPr>
                <w:webHidden/>
              </w:rPr>
            </w:r>
            <w:r w:rsidR="0030063D">
              <w:rPr>
                <w:webHidden/>
              </w:rPr>
              <w:fldChar w:fldCharType="separate"/>
            </w:r>
            <w:r>
              <w:rPr>
                <w:webHidden/>
              </w:rPr>
              <w:t>6</w:t>
            </w:r>
            <w:r w:rsidR="0030063D">
              <w:rPr>
                <w:webHidden/>
              </w:rPr>
              <w:fldChar w:fldCharType="end"/>
            </w:r>
          </w:hyperlink>
        </w:p>
        <w:p w:rsidR="0030063D" w:rsidRDefault="00D74D9F">
          <w:pPr>
            <w:pStyle w:val="TOC1"/>
            <w:rPr>
              <w:lang w:val="en-AU" w:eastAsia="en-AU"/>
            </w:rPr>
          </w:pPr>
          <w:hyperlink w:anchor="_Toc418768595" w:history="1">
            <w:r w:rsidR="0030063D" w:rsidRPr="0070141C">
              <w:rPr>
                <w:rStyle w:val="Hyperlink"/>
              </w:rPr>
              <w:t>4.</w:t>
            </w:r>
            <w:r w:rsidR="0030063D">
              <w:rPr>
                <w:lang w:val="en-AU" w:eastAsia="en-AU"/>
              </w:rPr>
              <w:tab/>
            </w:r>
            <w:r w:rsidR="0030063D" w:rsidRPr="0070141C">
              <w:rPr>
                <w:rStyle w:val="Hyperlink"/>
              </w:rPr>
              <w:t>Criteria</w:t>
            </w:r>
            <w:r w:rsidR="0030063D">
              <w:rPr>
                <w:webHidden/>
              </w:rPr>
              <w:tab/>
            </w:r>
            <w:r w:rsidR="0030063D">
              <w:rPr>
                <w:webHidden/>
              </w:rPr>
              <w:fldChar w:fldCharType="begin"/>
            </w:r>
            <w:r w:rsidR="0030063D">
              <w:rPr>
                <w:webHidden/>
              </w:rPr>
              <w:instrText xml:space="preserve"> PAGEREF _Toc418768595 \h </w:instrText>
            </w:r>
            <w:r w:rsidR="0030063D">
              <w:rPr>
                <w:webHidden/>
              </w:rPr>
            </w:r>
            <w:r w:rsidR="0030063D">
              <w:rPr>
                <w:webHidden/>
              </w:rPr>
              <w:fldChar w:fldCharType="separate"/>
            </w:r>
            <w:r>
              <w:rPr>
                <w:webHidden/>
              </w:rPr>
              <w:t>6</w:t>
            </w:r>
            <w:r w:rsidR="0030063D">
              <w:rPr>
                <w:webHidden/>
              </w:rPr>
              <w:fldChar w:fldCharType="end"/>
            </w:r>
          </w:hyperlink>
        </w:p>
        <w:p w:rsidR="0030063D" w:rsidRDefault="00D74D9F">
          <w:pPr>
            <w:pStyle w:val="TOC2"/>
            <w:rPr>
              <w:lang w:eastAsia="en-AU"/>
            </w:rPr>
          </w:pPr>
          <w:hyperlink w:anchor="_Toc418768596" w:history="1">
            <w:r w:rsidR="0030063D" w:rsidRPr="0070141C">
              <w:rPr>
                <w:rStyle w:val="Hyperlink"/>
              </w:rPr>
              <w:t>Criterion 1 - Addressing safety concerns</w:t>
            </w:r>
            <w:r w:rsidR="0030063D">
              <w:rPr>
                <w:webHidden/>
              </w:rPr>
              <w:tab/>
            </w:r>
            <w:r w:rsidR="0030063D">
              <w:rPr>
                <w:webHidden/>
              </w:rPr>
              <w:fldChar w:fldCharType="begin"/>
            </w:r>
            <w:r w:rsidR="0030063D">
              <w:rPr>
                <w:webHidden/>
              </w:rPr>
              <w:instrText xml:space="preserve"> PAGEREF _Toc418768596 \h </w:instrText>
            </w:r>
            <w:r w:rsidR="0030063D">
              <w:rPr>
                <w:webHidden/>
              </w:rPr>
            </w:r>
            <w:r w:rsidR="0030063D">
              <w:rPr>
                <w:webHidden/>
              </w:rPr>
              <w:fldChar w:fldCharType="separate"/>
            </w:r>
            <w:r>
              <w:rPr>
                <w:webHidden/>
              </w:rPr>
              <w:t>7</w:t>
            </w:r>
            <w:r w:rsidR="0030063D">
              <w:rPr>
                <w:webHidden/>
              </w:rPr>
              <w:fldChar w:fldCharType="end"/>
            </w:r>
          </w:hyperlink>
        </w:p>
        <w:p w:rsidR="0030063D" w:rsidRDefault="00D74D9F">
          <w:pPr>
            <w:pStyle w:val="TOC2"/>
            <w:rPr>
              <w:lang w:eastAsia="en-AU"/>
            </w:rPr>
          </w:pPr>
          <w:hyperlink w:anchor="_Toc418768597" w:history="1">
            <w:r w:rsidR="0030063D" w:rsidRPr="0070141C">
              <w:rPr>
                <w:rStyle w:val="Hyperlink"/>
              </w:rPr>
              <w:t>Criterion 2 - Comparable jurisdiction to Australia</w:t>
            </w:r>
            <w:r w:rsidR="0030063D">
              <w:rPr>
                <w:webHidden/>
              </w:rPr>
              <w:tab/>
            </w:r>
            <w:r w:rsidR="0030063D">
              <w:rPr>
                <w:webHidden/>
              </w:rPr>
              <w:fldChar w:fldCharType="begin"/>
            </w:r>
            <w:r w:rsidR="0030063D">
              <w:rPr>
                <w:webHidden/>
              </w:rPr>
              <w:instrText xml:space="preserve"> PAGEREF _Toc418768597 \h </w:instrText>
            </w:r>
            <w:r w:rsidR="0030063D">
              <w:rPr>
                <w:webHidden/>
              </w:rPr>
            </w:r>
            <w:r w:rsidR="0030063D">
              <w:rPr>
                <w:webHidden/>
              </w:rPr>
              <w:fldChar w:fldCharType="separate"/>
            </w:r>
            <w:r>
              <w:rPr>
                <w:webHidden/>
              </w:rPr>
              <w:t>7</w:t>
            </w:r>
            <w:r w:rsidR="0030063D">
              <w:rPr>
                <w:webHidden/>
              </w:rPr>
              <w:fldChar w:fldCharType="end"/>
            </w:r>
          </w:hyperlink>
        </w:p>
        <w:p w:rsidR="0030063D" w:rsidRDefault="00D74D9F">
          <w:pPr>
            <w:pStyle w:val="TOC2"/>
            <w:rPr>
              <w:lang w:eastAsia="en-AU"/>
            </w:rPr>
          </w:pPr>
          <w:hyperlink w:anchor="_Toc418768598" w:history="1">
            <w:r w:rsidR="0030063D" w:rsidRPr="0070141C">
              <w:rPr>
                <w:rStyle w:val="Hyperlink"/>
              </w:rPr>
              <w:t>Criterion 3 - Applicability to the Australian context</w:t>
            </w:r>
            <w:r w:rsidR="0030063D">
              <w:rPr>
                <w:webHidden/>
              </w:rPr>
              <w:tab/>
            </w:r>
            <w:r w:rsidR="0030063D">
              <w:rPr>
                <w:webHidden/>
              </w:rPr>
              <w:fldChar w:fldCharType="begin"/>
            </w:r>
            <w:r w:rsidR="0030063D">
              <w:rPr>
                <w:webHidden/>
              </w:rPr>
              <w:instrText xml:space="preserve"> PAGEREF _Toc418768598 \h </w:instrText>
            </w:r>
            <w:r w:rsidR="0030063D">
              <w:rPr>
                <w:webHidden/>
              </w:rPr>
            </w:r>
            <w:r w:rsidR="0030063D">
              <w:rPr>
                <w:webHidden/>
              </w:rPr>
              <w:fldChar w:fldCharType="separate"/>
            </w:r>
            <w:r>
              <w:rPr>
                <w:webHidden/>
              </w:rPr>
              <w:t>7</w:t>
            </w:r>
            <w:r w:rsidR="0030063D">
              <w:rPr>
                <w:webHidden/>
              </w:rPr>
              <w:fldChar w:fldCharType="end"/>
            </w:r>
          </w:hyperlink>
        </w:p>
        <w:p w:rsidR="0030063D" w:rsidRDefault="00D74D9F">
          <w:pPr>
            <w:pStyle w:val="TOC1"/>
            <w:rPr>
              <w:lang w:val="en-AU" w:eastAsia="en-AU"/>
            </w:rPr>
          </w:pPr>
          <w:hyperlink w:anchor="_Toc418768599" w:history="1">
            <w:r w:rsidR="0030063D" w:rsidRPr="0070141C">
              <w:rPr>
                <w:rStyle w:val="Hyperlink"/>
              </w:rPr>
              <w:t>5.</w:t>
            </w:r>
            <w:r w:rsidR="0030063D">
              <w:rPr>
                <w:lang w:val="en-AU" w:eastAsia="en-AU"/>
              </w:rPr>
              <w:tab/>
            </w:r>
            <w:r w:rsidR="0030063D" w:rsidRPr="0070141C">
              <w:rPr>
                <w:rStyle w:val="Hyperlink"/>
              </w:rPr>
              <w:t>Reviewing the Criteria</w:t>
            </w:r>
            <w:r w:rsidR="0030063D">
              <w:rPr>
                <w:webHidden/>
              </w:rPr>
              <w:tab/>
            </w:r>
            <w:r w:rsidR="0030063D">
              <w:rPr>
                <w:webHidden/>
              </w:rPr>
              <w:fldChar w:fldCharType="begin"/>
            </w:r>
            <w:r w:rsidR="0030063D">
              <w:rPr>
                <w:webHidden/>
              </w:rPr>
              <w:instrText xml:space="preserve"> PAGEREF _Toc418768599 \h </w:instrText>
            </w:r>
            <w:r w:rsidR="0030063D">
              <w:rPr>
                <w:webHidden/>
              </w:rPr>
            </w:r>
            <w:r w:rsidR="0030063D">
              <w:rPr>
                <w:webHidden/>
              </w:rPr>
              <w:fldChar w:fldCharType="separate"/>
            </w:r>
            <w:r>
              <w:rPr>
                <w:webHidden/>
              </w:rPr>
              <w:t>8</w:t>
            </w:r>
            <w:r w:rsidR="0030063D">
              <w:rPr>
                <w:webHidden/>
              </w:rPr>
              <w:fldChar w:fldCharType="end"/>
            </w:r>
          </w:hyperlink>
        </w:p>
        <w:p w:rsidR="00596642" w:rsidRPr="00955B46" w:rsidRDefault="00596642" w:rsidP="00596642">
          <w:pPr>
            <w:rPr>
              <w:b/>
            </w:rPr>
          </w:pPr>
          <w:r>
            <w:fldChar w:fldCharType="end"/>
          </w:r>
        </w:p>
      </w:sdtContent>
    </w:sdt>
    <w:p w:rsidR="00596642" w:rsidRPr="00296607" w:rsidRDefault="00596642" w:rsidP="00596642"/>
    <w:p w:rsidR="00596642" w:rsidRDefault="00596642" w:rsidP="00596642">
      <w:pPr>
        <w:spacing w:before="200" w:after="0" w:line="240" w:lineRule="auto"/>
        <w:rPr>
          <w:rFonts w:ascii="Lucida Fax" w:eastAsiaTheme="majorEastAsia" w:hAnsi="Lucida Fax" w:cstheme="majorBidi"/>
          <w:bCs/>
          <w:color w:val="51626F"/>
          <w:sz w:val="32"/>
          <w:szCs w:val="28"/>
        </w:rPr>
      </w:pPr>
      <w:r>
        <w:br w:type="page"/>
      </w:r>
    </w:p>
    <w:p w:rsidR="00596642" w:rsidRPr="004F06A5" w:rsidRDefault="00596642" w:rsidP="00596642">
      <w:pPr>
        <w:pStyle w:val="Numbered1"/>
        <w:ind w:left="360" w:hanging="360"/>
      </w:pPr>
      <w:bookmarkStart w:id="33" w:name="_Toc418768588"/>
      <w:r w:rsidRPr="004F06A5">
        <w:lastRenderedPageBreak/>
        <w:t>Introduction</w:t>
      </w:r>
      <w:bookmarkEnd w:id="33"/>
      <w:r w:rsidRPr="004F06A5">
        <w:t xml:space="preserve"> </w:t>
      </w:r>
    </w:p>
    <w:p w:rsidR="00596642" w:rsidRDefault="00596642" w:rsidP="00596642">
      <w:r>
        <w:t xml:space="preserve">The Australian Competition and Consumer Commission (ACCC) is an independent Commonwealth statutory authority whose role is to enforce the </w:t>
      </w:r>
      <w:r w:rsidRPr="0046580B">
        <w:rPr>
          <w:i/>
        </w:rPr>
        <w:t>Competition and Consumer Act 2010</w:t>
      </w:r>
      <w:r>
        <w:t xml:space="preserve"> (</w:t>
      </w:r>
      <w:proofErr w:type="spellStart"/>
      <w:r>
        <w:t>Cth</w:t>
      </w:r>
      <w:proofErr w:type="spellEnd"/>
      <w:r>
        <w:t xml:space="preserve">) and a range of additional legislation, promoting competition and fair trading, and regulating national infrastructure for the benefit of all Australians. The </w:t>
      </w:r>
      <w:r w:rsidRPr="0046580B">
        <w:rPr>
          <w:i/>
        </w:rPr>
        <w:t>Competition and Consumer Act 2010</w:t>
      </w:r>
      <w:r>
        <w:t xml:space="preserve"> includes the Australian Consumer Law, which sets out a range of provisions that assist Government </w:t>
      </w:r>
      <w:r w:rsidR="00B8456F">
        <w:t xml:space="preserve">to </w:t>
      </w:r>
      <w:r>
        <w:t>protect consumers from unsafe goods.</w:t>
      </w:r>
    </w:p>
    <w:p w:rsidR="00596642" w:rsidRDefault="00596642" w:rsidP="00596642">
      <w:r>
        <w:t xml:space="preserve">The ACCC is the national product safety regulator. It is responsible for a range of product safety functions in Australia including </w:t>
      </w:r>
      <w:r w:rsidR="009565D9">
        <w:t xml:space="preserve">conducting risk assessments and </w:t>
      </w:r>
      <w:r>
        <w:t>researching appropriate measures to protect consumers from unsafe goods</w:t>
      </w:r>
      <w:r w:rsidR="009565D9">
        <w:t>.</w:t>
      </w:r>
      <w:r>
        <w:t xml:space="preserve"> </w:t>
      </w:r>
      <w:r w:rsidR="009565D9">
        <w:t xml:space="preserve">The ACCC also makes </w:t>
      </w:r>
      <w:r>
        <w:t xml:space="preserve">recommendations to the Government on the development of suitable regulation including mandatory safety and information standards and bans. </w:t>
      </w:r>
    </w:p>
    <w:p w:rsidR="0056412F" w:rsidRDefault="00A93734" w:rsidP="00596642">
      <w:r>
        <w:rPr>
          <w:rFonts w:cstheme="minorHAnsi"/>
        </w:rPr>
        <w:t xml:space="preserve">Mandatory standards and bans are only considered after an assessment has determined that regulation is needed. </w:t>
      </w:r>
      <w:r w:rsidR="0056412F">
        <w:rPr>
          <w:rFonts w:cstheme="minorHAnsi"/>
        </w:rPr>
        <w:t xml:space="preserve">The development and review of </w:t>
      </w:r>
      <w:r w:rsidR="0056412F" w:rsidRPr="004C4E47">
        <w:rPr>
          <w:rFonts w:cstheme="minorHAnsi"/>
        </w:rPr>
        <w:t xml:space="preserve">regulation </w:t>
      </w:r>
      <w:r w:rsidR="0056412F">
        <w:rPr>
          <w:rFonts w:cstheme="minorHAnsi"/>
        </w:rPr>
        <w:t xml:space="preserve">is </w:t>
      </w:r>
      <w:r w:rsidR="0056412F" w:rsidRPr="004C4E47">
        <w:rPr>
          <w:rFonts w:cstheme="minorHAnsi"/>
        </w:rPr>
        <w:t xml:space="preserve">done according to best regulatory practice detailed in </w:t>
      </w:r>
      <w:hyperlink r:id="rId10" w:history="1">
        <w:r w:rsidR="0056412F" w:rsidRPr="0046580B">
          <w:rPr>
            <w:rStyle w:val="Hyperlink"/>
            <w:rFonts w:asciiTheme="minorHAnsi" w:hAnsiTheme="minorHAnsi" w:cstheme="minorHAnsi"/>
            <w:i/>
          </w:rPr>
          <w:t>The Australian Government Guide to Regulation</w:t>
        </w:r>
      </w:hyperlink>
      <w:r w:rsidR="0056412F" w:rsidRPr="004C4E47">
        <w:rPr>
          <w:rFonts w:cstheme="minorHAnsi"/>
        </w:rPr>
        <w:t xml:space="preserve">, including a thorough and transparent examination of </w:t>
      </w:r>
      <w:r w:rsidR="0056412F">
        <w:rPr>
          <w:rFonts w:cstheme="minorHAnsi"/>
        </w:rPr>
        <w:t xml:space="preserve">non-regulatory options and estimated </w:t>
      </w:r>
      <w:r w:rsidR="0056412F" w:rsidRPr="004C4E47">
        <w:rPr>
          <w:rFonts w:cstheme="minorHAnsi"/>
        </w:rPr>
        <w:t>costs and benefits.</w:t>
      </w:r>
    </w:p>
    <w:p w:rsidR="00514B73" w:rsidRDefault="00687DE0" w:rsidP="00596642">
      <w:r w:rsidRPr="00541BA2">
        <w:rPr>
          <w:rFonts w:cstheme="minorHAnsi"/>
          <w:lang w:val="en" w:eastAsia="en-AU"/>
        </w:rPr>
        <w:t>The Government is seeking to align regulatory processes</w:t>
      </w:r>
      <w:r>
        <w:rPr>
          <w:rFonts w:cstheme="minorHAnsi"/>
          <w:lang w:val="en" w:eastAsia="en-AU"/>
        </w:rPr>
        <w:t xml:space="preserve"> as much as possible</w:t>
      </w:r>
      <w:r w:rsidRPr="00541BA2">
        <w:rPr>
          <w:rFonts w:cstheme="minorHAnsi"/>
          <w:lang w:val="en" w:eastAsia="en-AU"/>
        </w:rPr>
        <w:t xml:space="preserve"> to eliminate or </w:t>
      </w:r>
      <w:proofErr w:type="spellStart"/>
      <w:r w:rsidRPr="00541BA2">
        <w:rPr>
          <w:rFonts w:cstheme="minorHAnsi"/>
          <w:lang w:val="en" w:eastAsia="en-AU"/>
        </w:rPr>
        <w:t>minimis</w:t>
      </w:r>
      <w:r>
        <w:rPr>
          <w:rFonts w:cstheme="minorHAnsi"/>
          <w:lang w:val="en" w:eastAsia="en-AU"/>
        </w:rPr>
        <w:t>e</w:t>
      </w:r>
      <w:proofErr w:type="spellEnd"/>
      <w:r>
        <w:rPr>
          <w:rFonts w:cstheme="minorHAnsi"/>
          <w:lang w:val="en" w:eastAsia="en-AU"/>
        </w:rPr>
        <w:t xml:space="preserve"> regulatory compliance </w:t>
      </w:r>
      <w:r w:rsidR="00123B0D">
        <w:rPr>
          <w:rFonts w:cstheme="minorHAnsi"/>
          <w:lang w:val="en" w:eastAsia="en-AU"/>
        </w:rPr>
        <w:t>burden</w:t>
      </w:r>
      <w:r w:rsidR="00123B0D" w:rsidRPr="00541BA2">
        <w:rPr>
          <w:rFonts w:cstheme="minorHAnsi"/>
          <w:lang w:val="en" w:eastAsia="en-AU"/>
        </w:rPr>
        <w:t>.</w:t>
      </w:r>
      <w:r w:rsidR="00123B0D">
        <w:rPr>
          <w:lang w:val="en"/>
        </w:rPr>
        <w:t xml:space="preserve"> </w:t>
      </w:r>
      <w:r w:rsidR="00C24B0C">
        <w:rPr>
          <w:lang w:val="en"/>
        </w:rPr>
        <w:t xml:space="preserve">The Government is </w:t>
      </w:r>
      <w:r w:rsidR="00C24B0C" w:rsidRPr="00C24B0C">
        <w:rPr>
          <w:lang w:val="en"/>
        </w:rPr>
        <w:t>adopting the principle that</w:t>
      </w:r>
      <w:r w:rsidR="00C24B0C" w:rsidRPr="00C24B0C">
        <w:t xml:space="preserve"> if a system, service or product has been approved under a trusted international standard or risk assessment, then Australian regulators should not impose any additional requirements, unless there is a good and demonstrable reason to do so. </w:t>
      </w:r>
      <w:r w:rsidR="00A93734" w:rsidRPr="00C24B0C">
        <w:t>Accepting</w:t>
      </w:r>
      <w:r w:rsidR="0083078E" w:rsidRPr="00C24B0C">
        <w:t xml:space="preserve"> trusted international standards and risk assessments can reduce duplication of regulatory approvals, reduce delays, increase competition and improve business competitiveness</w:t>
      </w:r>
      <w:r w:rsidR="0083078E" w:rsidRPr="00BA4646">
        <w:t xml:space="preserve"> in Australia. </w:t>
      </w:r>
    </w:p>
    <w:p w:rsidR="00596642" w:rsidRDefault="00530133" w:rsidP="00596642">
      <w:pPr>
        <w:rPr>
          <w:lang w:val="en"/>
        </w:rPr>
      </w:pPr>
      <w:r>
        <w:t>The ACCC will apply the Government’s policy and this paper</w:t>
      </w:r>
      <w:r w:rsidR="00596642">
        <w:rPr>
          <w:lang w:val="en"/>
        </w:rPr>
        <w:t xml:space="preserve"> details the criteria the ACCC will use when</w:t>
      </w:r>
      <w:r w:rsidR="000446AC">
        <w:rPr>
          <w:lang w:val="en"/>
        </w:rPr>
        <w:t xml:space="preserve"> determining and</w:t>
      </w:r>
      <w:r w:rsidR="00596642">
        <w:rPr>
          <w:lang w:val="en"/>
        </w:rPr>
        <w:t xml:space="preserve"> a</w:t>
      </w:r>
      <w:r w:rsidR="000446AC">
        <w:rPr>
          <w:lang w:val="en"/>
        </w:rPr>
        <w:t>ccepting</w:t>
      </w:r>
      <w:r w:rsidR="00596642">
        <w:rPr>
          <w:lang w:val="en"/>
        </w:rPr>
        <w:t xml:space="preserve"> </w:t>
      </w:r>
      <w:r w:rsidR="00421DC5">
        <w:rPr>
          <w:lang w:val="en"/>
        </w:rPr>
        <w:t xml:space="preserve">trusted </w:t>
      </w:r>
      <w:r w:rsidR="00596642">
        <w:rPr>
          <w:lang w:val="en"/>
        </w:rPr>
        <w:t xml:space="preserve">international standards </w:t>
      </w:r>
      <w:r w:rsidR="006E72AB">
        <w:rPr>
          <w:lang w:val="en"/>
        </w:rPr>
        <w:t xml:space="preserve">and risk assessments </w:t>
      </w:r>
      <w:r w:rsidR="00596642">
        <w:rPr>
          <w:lang w:val="en"/>
        </w:rPr>
        <w:t xml:space="preserve">for use when </w:t>
      </w:r>
      <w:r w:rsidR="00D373D2">
        <w:rPr>
          <w:lang w:val="en"/>
        </w:rPr>
        <w:t>product safety standards</w:t>
      </w:r>
      <w:r w:rsidR="000446AC">
        <w:rPr>
          <w:lang w:val="en"/>
        </w:rPr>
        <w:t xml:space="preserve"> and bans</w:t>
      </w:r>
      <w:r w:rsidR="00D373D2">
        <w:rPr>
          <w:lang w:val="en"/>
        </w:rPr>
        <w:t xml:space="preserve"> are </w:t>
      </w:r>
      <w:r w:rsidR="00596642">
        <w:rPr>
          <w:lang w:val="en"/>
        </w:rPr>
        <w:t>being considered</w:t>
      </w:r>
      <w:r w:rsidR="00D373D2">
        <w:rPr>
          <w:lang w:val="en"/>
        </w:rPr>
        <w:t xml:space="preserve"> or </w:t>
      </w:r>
      <w:r w:rsidR="00D35B77">
        <w:rPr>
          <w:lang w:val="en"/>
        </w:rPr>
        <w:t xml:space="preserve">being routinely </w:t>
      </w:r>
      <w:r w:rsidR="00D373D2">
        <w:rPr>
          <w:lang w:val="en"/>
        </w:rPr>
        <w:t>reviewed</w:t>
      </w:r>
      <w:r w:rsidR="00596642">
        <w:rPr>
          <w:lang w:val="en"/>
        </w:rPr>
        <w:t>.</w:t>
      </w:r>
      <w:r>
        <w:rPr>
          <w:lang w:val="en"/>
        </w:rPr>
        <w:t xml:space="preserve"> </w:t>
      </w:r>
      <w:r w:rsidR="00AD0174">
        <w:rPr>
          <w:lang w:val="en"/>
        </w:rPr>
        <w:t>The implications of accepting international standards and risk assessments on business, including the costs and benefits, will be determined when considering regulation.</w:t>
      </w:r>
    </w:p>
    <w:p w:rsidR="00596642" w:rsidRPr="000D610A" w:rsidRDefault="00596642" w:rsidP="00596642">
      <w:pPr>
        <w:pStyle w:val="Default"/>
        <w:rPr>
          <w:rFonts w:asciiTheme="minorHAnsi" w:hAnsiTheme="minorHAnsi" w:cstheme="minorHAnsi"/>
          <w:color w:val="auto"/>
          <w:sz w:val="22"/>
          <w:szCs w:val="22"/>
        </w:rPr>
      </w:pPr>
      <w:r w:rsidRPr="000D610A">
        <w:rPr>
          <w:rFonts w:asciiTheme="minorHAnsi" w:hAnsiTheme="minorHAnsi" w:cstheme="minorHAnsi"/>
          <w:color w:val="auto"/>
          <w:sz w:val="22"/>
          <w:szCs w:val="22"/>
        </w:rPr>
        <w:t xml:space="preserve">In this </w:t>
      </w:r>
      <w:r>
        <w:rPr>
          <w:rFonts w:asciiTheme="minorHAnsi" w:hAnsiTheme="minorHAnsi" w:cstheme="minorHAnsi"/>
          <w:color w:val="auto"/>
          <w:sz w:val="22"/>
          <w:szCs w:val="22"/>
        </w:rPr>
        <w:t>document</w:t>
      </w:r>
      <w:r w:rsidRPr="000D610A">
        <w:rPr>
          <w:rFonts w:asciiTheme="minorHAnsi" w:hAnsiTheme="minorHAnsi" w:cstheme="minorHAnsi"/>
          <w:color w:val="auto"/>
          <w:sz w:val="22"/>
          <w:szCs w:val="22"/>
        </w:rPr>
        <w:t xml:space="preserve">, the term ‘international standards’ means a mandatory or voluntary </w:t>
      </w:r>
      <w:r>
        <w:rPr>
          <w:rFonts w:asciiTheme="minorHAnsi" w:hAnsiTheme="minorHAnsi" w:cstheme="minorHAnsi"/>
          <w:color w:val="auto"/>
          <w:sz w:val="22"/>
          <w:szCs w:val="22"/>
        </w:rPr>
        <w:t xml:space="preserve">product safety </w:t>
      </w:r>
      <w:r w:rsidRPr="000D610A">
        <w:rPr>
          <w:rFonts w:asciiTheme="minorHAnsi" w:hAnsiTheme="minorHAnsi" w:cstheme="minorHAnsi"/>
          <w:color w:val="auto"/>
          <w:sz w:val="22"/>
          <w:szCs w:val="22"/>
        </w:rPr>
        <w:t>standard used or developed in a country other than Australia.</w:t>
      </w:r>
      <w:r w:rsidR="006E72AB">
        <w:rPr>
          <w:rFonts w:asciiTheme="minorHAnsi" w:hAnsiTheme="minorHAnsi" w:cstheme="minorHAnsi"/>
          <w:color w:val="auto"/>
          <w:sz w:val="22"/>
          <w:szCs w:val="22"/>
        </w:rPr>
        <w:t xml:space="preserve"> </w:t>
      </w:r>
      <w:r w:rsidRPr="000D610A">
        <w:rPr>
          <w:rFonts w:asciiTheme="minorHAnsi" w:hAnsiTheme="minorHAnsi" w:cstheme="minorHAnsi"/>
          <w:color w:val="auto"/>
          <w:sz w:val="22"/>
          <w:szCs w:val="22"/>
        </w:rPr>
        <w:t>It includes:</w:t>
      </w:r>
    </w:p>
    <w:p w:rsidR="00596642" w:rsidRDefault="00596642" w:rsidP="00596642">
      <w:pPr>
        <w:pStyle w:val="Default"/>
        <w:numPr>
          <w:ilvl w:val="0"/>
          <w:numId w:val="37"/>
        </w:numPr>
        <w:ind w:left="567" w:hanging="567"/>
        <w:rPr>
          <w:rFonts w:asciiTheme="minorHAnsi" w:hAnsiTheme="minorHAnsi" w:cstheme="minorHAnsi"/>
          <w:color w:val="auto"/>
          <w:sz w:val="22"/>
          <w:szCs w:val="22"/>
        </w:rPr>
      </w:pPr>
      <w:r>
        <w:rPr>
          <w:rFonts w:asciiTheme="minorHAnsi" w:hAnsiTheme="minorHAnsi" w:cstheme="minorHAnsi"/>
          <w:color w:val="auto"/>
          <w:sz w:val="22"/>
          <w:szCs w:val="22"/>
        </w:rPr>
        <w:t>v</w:t>
      </w:r>
      <w:r w:rsidRPr="000D610A">
        <w:rPr>
          <w:rFonts w:asciiTheme="minorHAnsi" w:hAnsiTheme="minorHAnsi" w:cstheme="minorHAnsi"/>
          <w:color w:val="auto"/>
          <w:sz w:val="22"/>
          <w:szCs w:val="22"/>
        </w:rPr>
        <w:t xml:space="preserve">oluntary standards developed by </w:t>
      </w:r>
      <w:r>
        <w:rPr>
          <w:rFonts w:asciiTheme="minorHAnsi" w:hAnsiTheme="minorHAnsi" w:cstheme="minorHAnsi"/>
          <w:color w:val="auto"/>
          <w:sz w:val="22"/>
          <w:szCs w:val="22"/>
        </w:rPr>
        <w:t xml:space="preserve">international </w:t>
      </w:r>
      <w:r w:rsidRPr="000D610A">
        <w:rPr>
          <w:rFonts w:asciiTheme="minorHAnsi" w:hAnsiTheme="minorHAnsi" w:cstheme="minorHAnsi"/>
          <w:color w:val="auto"/>
          <w:sz w:val="22"/>
          <w:szCs w:val="22"/>
        </w:rPr>
        <w:t>bodies like the International Organization for Standardization (ISO)</w:t>
      </w:r>
      <w:r>
        <w:rPr>
          <w:rFonts w:asciiTheme="minorHAnsi" w:hAnsiTheme="minorHAnsi" w:cstheme="minorHAnsi"/>
          <w:color w:val="auto"/>
          <w:sz w:val="22"/>
          <w:szCs w:val="22"/>
        </w:rPr>
        <w:t xml:space="preserve"> and</w:t>
      </w:r>
      <w:r w:rsidRPr="000D610A">
        <w:rPr>
          <w:rFonts w:asciiTheme="minorHAnsi" w:hAnsiTheme="minorHAnsi" w:cstheme="minorHAnsi"/>
          <w:color w:val="auto"/>
          <w:sz w:val="22"/>
          <w:szCs w:val="22"/>
        </w:rPr>
        <w:t xml:space="preserve"> the European Committee for Standardization (CEN)</w:t>
      </w:r>
    </w:p>
    <w:p w:rsidR="00596642" w:rsidRPr="000D610A" w:rsidRDefault="00596642" w:rsidP="00596642">
      <w:pPr>
        <w:pStyle w:val="Default"/>
        <w:numPr>
          <w:ilvl w:val="0"/>
          <w:numId w:val="37"/>
        </w:numPr>
        <w:ind w:left="567" w:hanging="567"/>
        <w:rPr>
          <w:rFonts w:asciiTheme="minorHAnsi" w:hAnsiTheme="minorHAnsi" w:cstheme="minorHAnsi"/>
          <w:color w:val="auto"/>
          <w:sz w:val="22"/>
          <w:szCs w:val="22"/>
        </w:rPr>
      </w:pPr>
      <w:r w:rsidRPr="000D610A">
        <w:rPr>
          <w:rFonts w:asciiTheme="minorHAnsi" w:hAnsiTheme="minorHAnsi" w:cstheme="minorHAnsi"/>
          <w:color w:val="auto"/>
          <w:sz w:val="22"/>
          <w:szCs w:val="22"/>
        </w:rPr>
        <w:t>national voluntary standards</w:t>
      </w:r>
      <w:r>
        <w:rPr>
          <w:rFonts w:asciiTheme="minorHAnsi" w:hAnsiTheme="minorHAnsi" w:cstheme="minorHAnsi"/>
          <w:color w:val="auto"/>
          <w:sz w:val="22"/>
          <w:szCs w:val="22"/>
        </w:rPr>
        <w:t xml:space="preserve"> published by standards organisations from other countries (e.g. United States organisations such as the American Society for Testing and Materials, the British Standards Institute, and equivalent organisations in Japan, Canada, New Zealand or elsewhere)</w:t>
      </w:r>
    </w:p>
    <w:p w:rsidR="00596642" w:rsidRDefault="00596642" w:rsidP="00596642">
      <w:pPr>
        <w:pStyle w:val="Default"/>
        <w:numPr>
          <w:ilvl w:val="0"/>
          <w:numId w:val="37"/>
        </w:numPr>
        <w:ind w:left="567" w:hanging="567"/>
        <w:rPr>
          <w:rFonts w:asciiTheme="minorHAnsi" w:hAnsiTheme="minorHAnsi" w:cstheme="minorHAnsi"/>
          <w:color w:val="auto"/>
          <w:sz w:val="22"/>
          <w:szCs w:val="22"/>
        </w:rPr>
      </w:pPr>
      <w:proofErr w:type="gramStart"/>
      <w:r>
        <w:rPr>
          <w:rFonts w:asciiTheme="minorHAnsi" w:hAnsiTheme="minorHAnsi" w:cstheme="minorHAnsi"/>
          <w:color w:val="auto"/>
          <w:sz w:val="22"/>
          <w:szCs w:val="22"/>
        </w:rPr>
        <w:t>m</w:t>
      </w:r>
      <w:r w:rsidRPr="000D610A">
        <w:rPr>
          <w:rFonts w:asciiTheme="minorHAnsi" w:hAnsiTheme="minorHAnsi" w:cstheme="minorHAnsi"/>
          <w:color w:val="auto"/>
          <w:sz w:val="22"/>
          <w:szCs w:val="22"/>
        </w:rPr>
        <w:t>andatory</w:t>
      </w:r>
      <w:proofErr w:type="gramEnd"/>
      <w:r w:rsidRPr="000D610A">
        <w:rPr>
          <w:rFonts w:asciiTheme="minorHAnsi" w:hAnsiTheme="minorHAnsi" w:cstheme="minorHAnsi"/>
          <w:color w:val="auto"/>
          <w:sz w:val="22"/>
          <w:szCs w:val="22"/>
        </w:rPr>
        <w:t xml:space="preserve"> standards or regulations in force in international jurisdictions.</w:t>
      </w:r>
    </w:p>
    <w:p w:rsidR="00687DE0" w:rsidRDefault="00687DE0" w:rsidP="00571E57">
      <w:pPr>
        <w:pStyle w:val="Numbered1"/>
        <w:keepNext/>
        <w:ind w:left="357" w:hanging="357"/>
      </w:pPr>
      <w:bookmarkStart w:id="34" w:name="_Toc418768589"/>
      <w:r>
        <w:lastRenderedPageBreak/>
        <w:t>Consultation</w:t>
      </w:r>
      <w:bookmarkEnd w:id="34"/>
    </w:p>
    <w:p w:rsidR="00D2106D" w:rsidRDefault="00D2106D" w:rsidP="00687DE0">
      <w:pPr>
        <w:spacing w:after="240"/>
        <w:rPr>
          <w:rFonts w:cs="Arial"/>
        </w:rPr>
      </w:pPr>
      <w:r>
        <w:t xml:space="preserve">The ACCC is seeking </w:t>
      </w:r>
      <w:r w:rsidR="006E0F92">
        <w:t>your input</w:t>
      </w:r>
      <w:r>
        <w:t xml:space="preserve"> regarding the criteria</w:t>
      </w:r>
      <w:r w:rsidR="006E0F92">
        <w:t xml:space="preserve"> and processes it will use to determine whether international standards</w:t>
      </w:r>
      <w:r w:rsidR="00CD4718">
        <w:t xml:space="preserve"> and risk assessments are</w:t>
      </w:r>
      <w:r w:rsidR="006E0F92">
        <w:t xml:space="preserve"> suitable for use in Australia</w:t>
      </w:r>
      <w:r>
        <w:t>. The ACCC will consider submissions on this document prior to publishing a final document.</w:t>
      </w:r>
    </w:p>
    <w:p w:rsidR="00687DE0" w:rsidRDefault="006E0F92" w:rsidP="00687DE0">
      <w:pPr>
        <w:spacing w:after="240"/>
        <w:rPr>
          <w:rFonts w:cs="Arial"/>
        </w:rPr>
      </w:pPr>
      <w:r>
        <w:rPr>
          <w:rFonts w:cs="Arial"/>
        </w:rPr>
        <w:t>You</w:t>
      </w:r>
      <w:r w:rsidR="00687DE0" w:rsidRPr="00D12949">
        <w:rPr>
          <w:rFonts w:cs="Arial"/>
        </w:rPr>
        <w:t xml:space="preserve"> are invited to make submissions on the draft </w:t>
      </w:r>
      <w:r w:rsidR="00687DE0">
        <w:rPr>
          <w:rFonts w:cs="Arial"/>
        </w:rPr>
        <w:t xml:space="preserve">criteria and to discuss other issues the ACCC </w:t>
      </w:r>
      <w:r w:rsidR="00123B0D">
        <w:rPr>
          <w:rFonts w:cs="Arial"/>
        </w:rPr>
        <w:t xml:space="preserve">might </w:t>
      </w:r>
      <w:r w:rsidR="00687DE0">
        <w:rPr>
          <w:rFonts w:cs="Arial"/>
        </w:rPr>
        <w:t>consider when engaging with trusted international standards</w:t>
      </w:r>
      <w:r w:rsidR="00CD4718">
        <w:rPr>
          <w:rFonts w:cs="Arial"/>
        </w:rPr>
        <w:t xml:space="preserve"> and risk assessments</w:t>
      </w:r>
      <w:r>
        <w:rPr>
          <w:rFonts w:cs="Arial"/>
        </w:rPr>
        <w:t xml:space="preserve">. </w:t>
      </w:r>
    </w:p>
    <w:p w:rsidR="00687DE0" w:rsidRDefault="00CD4718" w:rsidP="00687DE0">
      <w:pPr>
        <w:spacing w:after="240"/>
        <w:rPr>
          <w:rFonts w:cs="Arial"/>
        </w:rPr>
      </w:pPr>
      <w:r>
        <w:rPr>
          <w:rFonts w:cs="Arial"/>
        </w:rPr>
        <w:t>You should</w:t>
      </w:r>
      <w:r w:rsidR="00687DE0">
        <w:rPr>
          <w:rFonts w:cs="Arial"/>
        </w:rPr>
        <w:t xml:space="preserve"> consider and address the following questions in </w:t>
      </w:r>
      <w:r>
        <w:rPr>
          <w:rFonts w:cs="Arial"/>
        </w:rPr>
        <w:t>your</w:t>
      </w:r>
      <w:r w:rsidR="00687DE0">
        <w:rPr>
          <w:rFonts w:cs="Arial"/>
        </w:rPr>
        <w:t xml:space="preserve"> submissions:</w:t>
      </w:r>
    </w:p>
    <w:p w:rsidR="00C01DE8" w:rsidRDefault="00C01DE8" w:rsidP="00C01DE8">
      <w:pPr>
        <w:pStyle w:val="Bulletpoint"/>
      </w:pPr>
      <w:r>
        <w:t xml:space="preserve">Are the criteria sufficient for the ACCC to appropriately consider </w:t>
      </w:r>
      <w:r w:rsidR="00937309">
        <w:t>accepting</w:t>
      </w:r>
      <w:r>
        <w:t xml:space="preserve"> international standards</w:t>
      </w:r>
      <w:r w:rsidR="00CD4718">
        <w:t xml:space="preserve"> and risk assessments</w:t>
      </w:r>
      <w:r>
        <w:t xml:space="preserve"> in Australia?</w:t>
      </w:r>
    </w:p>
    <w:p w:rsidR="00C01DE8" w:rsidRDefault="00C01DE8" w:rsidP="00C01DE8">
      <w:pPr>
        <w:pStyle w:val="Bulletpoint"/>
      </w:pPr>
      <w:r>
        <w:t xml:space="preserve">Are there other </w:t>
      </w:r>
      <w:r w:rsidR="00AD0174">
        <w:t>factors</w:t>
      </w:r>
      <w:r>
        <w:t xml:space="preserve"> the ACCC should take into consideration?</w:t>
      </w:r>
    </w:p>
    <w:p w:rsidR="00687DE0" w:rsidRPr="00D12949" w:rsidRDefault="00687DE0" w:rsidP="00687DE0">
      <w:pPr>
        <w:spacing w:after="240"/>
        <w:rPr>
          <w:rFonts w:cs="Arial"/>
        </w:rPr>
      </w:pPr>
      <w:r w:rsidRPr="00D12949">
        <w:rPr>
          <w:rFonts w:cs="Arial"/>
        </w:rPr>
        <w:t xml:space="preserve">Consultation is </w:t>
      </w:r>
      <w:r w:rsidRPr="005B1295">
        <w:rPr>
          <w:rFonts w:cs="Arial"/>
        </w:rPr>
        <w:t xml:space="preserve">open from 11 May to 5 June.  Our preferred method of receiving submissions is via the consultation hub: </w:t>
      </w:r>
      <w:r w:rsidR="00D2106D">
        <w:rPr>
          <w:rFonts w:cs="Arial"/>
        </w:rPr>
        <w:br/>
      </w:r>
      <w:hyperlink r:id="rId11" w:history="1">
        <w:r w:rsidRPr="005B1295">
          <w:rPr>
            <w:rStyle w:val="Hyperlink"/>
            <w:rFonts w:asciiTheme="minorHAnsi" w:hAnsiTheme="minorHAnsi" w:cs="Arial"/>
          </w:rPr>
          <w:t>https://consultation.accc.gov.au/product-safety/</w:t>
        </w:r>
        <w:r w:rsidRPr="006377F5">
          <w:rPr>
            <w:rStyle w:val="Hyperlink"/>
            <w:rFonts w:asciiTheme="minorHAnsi" w:hAnsiTheme="minorHAnsi" w:cs="Arial"/>
          </w:rPr>
          <w:t>internationalstandards</w:t>
        </w:r>
      </w:hyperlink>
      <w:r w:rsidRPr="005B1295">
        <w:rPr>
          <w:rFonts w:cs="Arial"/>
        </w:rPr>
        <w:t>.</w:t>
      </w:r>
      <w:r>
        <w:rPr>
          <w:rFonts w:cs="Arial"/>
        </w:rPr>
        <w:t xml:space="preserve"> </w:t>
      </w:r>
    </w:p>
    <w:p w:rsidR="00687DE0" w:rsidRDefault="00687DE0" w:rsidP="00687DE0">
      <w:pPr>
        <w:keepNext/>
        <w:spacing w:after="240"/>
        <w:rPr>
          <w:rFonts w:cs="Arial"/>
        </w:rPr>
      </w:pPr>
      <w:r w:rsidRPr="00D12949">
        <w:rPr>
          <w:rFonts w:cs="Arial"/>
        </w:rPr>
        <w:t xml:space="preserve">Alternatively, submissions can be </w:t>
      </w:r>
      <w:r>
        <w:rPr>
          <w:rFonts w:cs="Arial"/>
        </w:rPr>
        <w:t xml:space="preserve">emailed to </w:t>
      </w:r>
      <w:hyperlink r:id="rId12" w:history="1">
        <w:r w:rsidR="00536616" w:rsidRPr="006D675E">
          <w:rPr>
            <w:rStyle w:val="Hyperlink"/>
            <w:rFonts w:asciiTheme="minorHAnsi" w:hAnsiTheme="minorHAnsi" w:cs="Arial"/>
          </w:rPr>
          <w:t>productsafety.regulation@accc.gov.au</w:t>
        </w:r>
      </w:hyperlink>
      <w:r>
        <w:rPr>
          <w:rFonts w:cs="Arial"/>
        </w:rPr>
        <w:t xml:space="preserve"> </w:t>
      </w:r>
    </w:p>
    <w:p w:rsidR="00687DE0" w:rsidRPr="00D12949" w:rsidRDefault="00687DE0" w:rsidP="00687DE0">
      <w:pPr>
        <w:keepNext/>
        <w:spacing w:after="240"/>
        <w:rPr>
          <w:rFonts w:cs="Arial"/>
        </w:rPr>
      </w:pPr>
      <w:r>
        <w:rPr>
          <w:rFonts w:cs="Arial"/>
        </w:rPr>
        <w:t>Or mailed to</w:t>
      </w:r>
    </w:p>
    <w:p w:rsidR="00687DE0" w:rsidRPr="00D12949" w:rsidRDefault="00687DE0" w:rsidP="00687DE0">
      <w:pPr>
        <w:pStyle w:val="NoSpacing"/>
      </w:pPr>
      <w:r w:rsidRPr="00D12949">
        <w:t>Director</w:t>
      </w:r>
    </w:p>
    <w:p w:rsidR="00687DE0" w:rsidRPr="00D12949" w:rsidRDefault="00687DE0" w:rsidP="00687DE0">
      <w:pPr>
        <w:pStyle w:val="NoSpacing"/>
      </w:pPr>
      <w:r>
        <w:t>Policy and Engagement</w:t>
      </w:r>
    </w:p>
    <w:p w:rsidR="00687DE0" w:rsidRPr="00D12949" w:rsidRDefault="00687DE0" w:rsidP="00687DE0">
      <w:pPr>
        <w:pStyle w:val="NoSpacing"/>
      </w:pPr>
      <w:r w:rsidRPr="00D12949">
        <w:t>Product Safety Branch</w:t>
      </w:r>
    </w:p>
    <w:p w:rsidR="00687DE0" w:rsidRPr="00D12949" w:rsidRDefault="00687DE0" w:rsidP="00687DE0">
      <w:pPr>
        <w:pStyle w:val="NoSpacing"/>
      </w:pPr>
      <w:r w:rsidRPr="00D12949">
        <w:t>Australian Competition and Consumer Commission</w:t>
      </w:r>
    </w:p>
    <w:p w:rsidR="00687DE0" w:rsidRPr="00D12949" w:rsidRDefault="00687DE0" w:rsidP="00687DE0">
      <w:pPr>
        <w:pStyle w:val="NoSpacing"/>
      </w:pPr>
      <w:r w:rsidRPr="00D12949">
        <w:t>GPO Box 3131</w:t>
      </w:r>
    </w:p>
    <w:p w:rsidR="00687DE0" w:rsidRDefault="00687DE0" w:rsidP="00687DE0">
      <w:pPr>
        <w:pStyle w:val="NoSpacing"/>
      </w:pPr>
      <w:r w:rsidRPr="00D12949">
        <w:t>CANBERRA   ACT   2601</w:t>
      </w:r>
    </w:p>
    <w:p w:rsidR="00687DE0" w:rsidRDefault="00687DE0" w:rsidP="00687DE0">
      <w:pPr>
        <w:pStyle w:val="NoSpacing"/>
      </w:pPr>
    </w:p>
    <w:p w:rsidR="007A1ADE" w:rsidRDefault="007A1ADE" w:rsidP="00687DE0">
      <w:pPr>
        <w:pStyle w:val="NoSpacing"/>
      </w:pPr>
    </w:p>
    <w:p w:rsidR="00687DE0" w:rsidRPr="009D6B46" w:rsidRDefault="00687DE0" w:rsidP="00687DE0">
      <w:pPr>
        <w:pStyle w:val="NoSpacing"/>
      </w:pPr>
      <w:r>
        <w:t xml:space="preserve">Questions </w:t>
      </w:r>
      <w:r w:rsidR="00123B0D">
        <w:t xml:space="preserve">regarding this process </w:t>
      </w:r>
      <w:r>
        <w:t xml:space="preserve">can be directed to </w:t>
      </w:r>
      <w:r w:rsidR="00514B73">
        <w:t xml:space="preserve">Simon Bell </w:t>
      </w:r>
      <w:r>
        <w:t xml:space="preserve">by phone </w:t>
      </w:r>
      <w:r w:rsidR="00514B73">
        <w:t>02 6243 1232</w:t>
      </w:r>
      <w:r>
        <w:t xml:space="preserve"> or email </w:t>
      </w:r>
      <w:hyperlink r:id="rId13" w:history="1">
        <w:r w:rsidR="00536616" w:rsidRPr="006D675E">
          <w:rPr>
            <w:rStyle w:val="Hyperlink"/>
            <w:rFonts w:asciiTheme="minorHAnsi" w:hAnsiTheme="minorHAnsi" w:cs="Arial"/>
          </w:rPr>
          <w:t>productsafety.regulation@accc.gov.au</w:t>
        </w:r>
      </w:hyperlink>
      <w:r>
        <w:t xml:space="preserve">. </w:t>
      </w:r>
    </w:p>
    <w:p w:rsidR="00687DE0" w:rsidRDefault="00687DE0" w:rsidP="00596642">
      <w:pPr>
        <w:rPr>
          <w:rFonts w:ascii="Arial" w:eastAsiaTheme="majorEastAsia" w:hAnsi="Arial" w:cstheme="majorBidi"/>
          <w:b/>
          <w:bCs/>
          <w:color w:val="51626F"/>
          <w:sz w:val="28"/>
          <w:szCs w:val="26"/>
        </w:rPr>
      </w:pPr>
    </w:p>
    <w:p w:rsidR="00D2106D" w:rsidRDefault="00D2106D" w:rsidP="00596642">
      <w:pPr>
        <w:rPr>
          <w:rFonts w:ascii="Arial" w:eastAsiaTheme="majorEastAsia" w:hAnsi="Arial" w:cstheme="majorBidi"/>
          <w:b/>
          <w:bCs/>
          <w:color w:val="51626F"/>
          <w:sz w:val="28"/>
          <w:szCs w:val="26"/>
        </w:rPr>
      </w:pPr>
    </w:p>
    <w:p w:rsidR="00D2106D" w:rsidRDefault="00D2106D" w:rsidP="00596642">
      <w:pPr>
        <w:rPr>
          <w:rFonts w:ascii="Arial" w:eastAsiaTheme="majorEastAsia" w:hAnsi="Arial" w:cstheme="majorBidi"/>
          <w:b/>
          <w:bCs/>
          <w:color w:val="51626F"/>
          <w:sz w:val="28"/>
          <w:szCs w:val="26"/>
        </w:rPr>
      </w:pPr>
    </w:p>
    <w:p w:rsidR="00D2106D" w:rsidRDefault="00D2106D" w:rsidP="00596642">
      <w:pPr>
        <w:rPr>
          <w:rFonts w:ascii="Arial" w:eastAsiaTheme="majorEastAsia" w:hAnsi="Arial" w:cstheme="majorBidi"/>
          <w:b/>
          <w:bCs/>
          <w:color w:val="51626F"/>
          <w:sz w:val="28"/>
          <w:szCs w:val="26"/>
        </w:rPr>
      </w:pPr>
    </w:p>
    <w:p w:rsidR="00D2106D" w:rsidRDefault="00D2106D" w:rsidP="00596642">
      <w:pPr>
        <w:rPr>
          <w:rFonts w:ascii="Arial" w:eastAsiaTheme="majorEastAsia" w:hAnsi="Arial" w:cstheme="majorBidi"/>
          <w:b/>
          <w:bCs/>
          <w:color w:val="51626F"/>
          <w:sz w:val="28"/>
          <w:szCs w:val="26"/>
        </w:rPr>
      </w:pPr>
    </w:p>
    <w:p w:rsidR="00D2106D" w:rsidRDefault="00D2106D" w:rsidP="00596642">
      <w:pPr>
        <w:rPr>
          <w:rFonts w:ascii="Arial" w:eastAsiaTheme="majorEastAsia" w:hAnsi="Arial" w:cstheme="majorBidi"/>
          <w:b/>
          <w:bCs/>
          <w:color w:val="51626F"/>
          <w:sz w:val="28"/>
          <w:szCs w:val="26"/>
        </w:rPr>
      </w:pPr>
    </w:p>
    <w:p w:rsidR="00D2106D" w:rsidRDefault="00D2106D" w:rsidP="00596642">
      <w:pPr>
        <w:rPr>
          <w:rFonts w:ascii="Arial" w:eastAsiaTheme="majorEastAsia" w:hAnsi="Arial" w:cstheme="majorBidi"/>
          <w:b/>
          <w:bCs/>
          <w:color w:val="51626F"/>
          <w:sz w:val="28"/>
          <w:szCs w:val="26"/>
        </w:rPr>
      </w:pPr>
    </w:p>
    <w:p w:rsidR="00596642" w:rsidRDefault="00596642" w:rsidP="009D0426">
      <w:pPr>
        <w:pStyle w:val="Numbered1"/>
        <w:keepNext/>
        <w:ind w:left="357" w:hanging="357"/>
      </w:pPr>
      <w:bookmarkStart w:id="35" w:name="_Toc418768590"/>
      <w:r>
        <w:lastRenderedPageBreak/>
        <w:t>Background</w:t>
      </w:r>
      <w:bookmarkEnd w:id="35"/>
    </w:p>
    <w:p w:rsidR="00596642" w:rsidRDefault="00596642" w:rsidP="00596642">
      <w:r>
        <w:t>The Australian Government published the ‘</w:t>
      </w:r>
      <w:r w:rsidRPr="00F34E81">
        <w:rPr>
          <w:i/>
        </w:rPr>
        <w:t>Industry Innovation and Competitiveness Agend</w:t>
      </w:r>
      <w:r>
        <w:rPr>
          <w:i/>
        </w:rPr>
        <w:t>a: An Action Plan for a Stronger Australia</w:t>
      </w:r>
      <w:r>
        <w:t>’ on 14 October 2014. The Agenda included a number of proposals including the following:</w:t>
      </w:r>
      <w:r>
        <w:rPr>
          <w:rStyle w:val="FootnoteReference"/>
        </w:rPr>
        <w:footnoteReference w:id="1"/>
      </w:r>
    </w:p>
    <w:p w:rsidR="00596642" w:rsidRPr="00F34E81" w:rsidRDefault="00596642" w:rsidP="00596642">
      <w:pPr>
        <w:ind w:left="720" w:right="662"/>
        <w:jc w:val="both"/>
        <w:rPr>
          <w:i/>
        </w:rPr>
      </w:pPr>
      <w:r w:rsidRPr="00F34E81">
        <w:rPr>
          <w:i/>
        </w:rPr>
        <w:t>To reduce duplicative domestic regulation, the Government will adopt the principle that if a system, service or product has been approved under a trusted international standard or risk assessment, then Australian regulators should not impose any additional requirements, unless there is a good and demonstrable reason to do so. This will reduce costs and delays for businesses, increase the supply of products into the Australian market and allow regulatory authorities to focus on higher priorities.</w:t>
      </w:r>
    </w:p>
    <w:p w:rsidR="00596642" w:rsidRDefault="00596642" w:rsidP="00596642">
      <w:pPr>
        <w:rPr>
          <w:lang w:eastAsia="en-AU"/>
        </w:rPr>
      </w:pPr>
      <w:r>
        <w:rPr>
          <w:lang w:eastAsia="en-AU"/>
        </w:rPr>
        <w:t>The proposal requires a</w:t>
      </w:r>
      <w:r w:rsidRPr="00F34E81">
        <w:rPr>
          <w:lang w:eastAsia="en-AU"/>
        </w:rPr>
        <w:t xml:space="preserve"> review </w:t>
      </w:r>
      <w:r>
        <w:rPr>
          <w:lang w:eastAsia="en-AU"/>
        </w:rPr>
        <w:t xml:space="preserve">of </w:t>
      </w:r>
      <w:r w:rsidRPr="00F34E81">
        <w:rPr>
          <w:lang w:eastAsia="en-AU"/>
        </w:rPr>
        <w:t>Commonwealth Government processes in each ministerial portfolio to objectively assess whether unique Australian</w:t>
      </w:r>
      <w:r>
        <w:rPr>
          <w:lang w:eastAsia="en-AU"/>
        </w:rPr>
        <w:t xml:space="preserve"> </w:t>
      </w:r>
      <w:r w:rsidRPr="00F34E81">
        <w:rPr>
          <w:lang w:eastAsia="en-AU"/>
        </w:rPr>
        <w:t>standards or risk assessments are needed.</w:t>
      </w:r>
      <w:r>
        <w:rPr>
          <w:lang w:eastAsia="en-AU"/>
        </w:rPr>
        <w:t xml:space="preserve"> In doing so, </w:t>
      </w:r>
      <w:r w:rsidR="00CD4718">
        <w:rPr>
          <w:lang w:eastAsia="en-AU"/>
        </w:rPr>
        <w:t>agencies</w:t>
      </w:r>
      <w:r>
        <w:rPr>
          <w:lang w:eastAsia="en-AU"/>
        </w:rPr>
        <w:t xml:space="preserve"> are required to conduct stakeholder consultation to develop criteria</w:t>
      </w:r>
      <w:r w:rsidRPr="00F34E81">
        <w:rPr>
          <w:lang w:eastAsia="en-AU"/>
        </w:rPr>
        <w:t xml:space="preserve"> for accepting or adopting trusted international standards</w:t>
      </w:r>
      <w:r w:rsidR="006E72AB">
        <w:rPr>
          <w:lang w:eastAsia="en-AU"/>
        </w:rPr>
        <w:t xml:space="preserve"> and risk assessments</w:t>
      </w:r>
      <w:r w:rsidRPr="00F34E81">
        <w:rPr>
          <w:lang w:eastAsia="en-AU"/>
        </w:rPr>
        <w:t>.</w:t>
      </w:r>
    </w:p>
    <w:p w:rsidR="00BA4646" w:rsidRDefault="00F019ED" w:rsidP="00BA4646">
      <w:r>
        <w:t xml:space="preserve">The criteria will be used when new regulation is being considered or when existing regulation is being reviewed. </w:t>
      </w:r>
      <w:r w:rsidR="00687DE0">
        <w:t xml:space="preserve">Any </w:t>
      </w:r>
      <w:r>
        <w:t xml:space="preserve">proposed new regulation or </w:t>
      </w:r>
      <w:r w:rsidR="00687DE0">
        <w:t xml:space="preserve">changes to </w:t>
      </w:r>
      <w:r>
        <w:t xml:space="preserve">existing </w:t>
      </w:r>
      <w:r w:rsidR="00687DE0">
        <w:t xml:space="preserve">regulation will still be done through the usual policy approval process, including assessment through a Regulation Impact Statement if required. </w:t>
      </w:r>
    </w:p>
    <w:p w:rsidR="00596642" w:rsidRPr="000D610A" w:rsidRDefault="00596642" w:rsidP="00596642">
      <w:pPr>
        <w:pStyle w:val="Numbered11"/>
        <w:spacing w:after="120"/>
        <w:ind w:left="431" w:hanging="431"/>
      </w:pPr>
      <w:bookmarkStart w:id="36" w:name="_Toc417561910"/>
      <w:bookmarkStart w:id="37" w:name="_Toc418768591"/>
      <w:bookmarkEnd w:id="36"/>
      <w:r w:rsidRPr="000D610A">
        <w:t>Australian Consumer Law</w:t>
      </w:r>
      <w:bookmarkEnd w:id="37"/>
    </w:p>
    <w:p w:rsidR="00596642" w:rsidRDefault="00596642" w:rsidP="00596642">
      <w:pPr>
        <w:rPr>
          <w:rFonts w:cstheme="minorHAnsi"/>
        </w:rPr>
      </w:pPr>
      <w:r>
        <w:rPr>
          <w:rFonts w:cstheme="minorHAnsi"/>
        </w:rPr>
        <w:t>T</w:t>
      </w:r>
      <w:r w:rsidRPr="000D610A">
        <w:rPr>
          <w:rFonts w:cstheme="minorHAnsi"/>
        </w:rPr>
        <w:t xml:space="preserve">he </w:t>
      </w:r>
      <w:r w:rsidR="00B8456F">
        <w:rPr>
          <w:rFonts w:cstheme="minorHAnsi"/>
        </w:rPr>
        <w:t xml:space="preserve">Australian Consumer Law </w:t>
      </w:r>
      <w:r w:rsidRPr="000D610A">
        <w:rPr>
          <w:rFonts w:cstheme="minorHAnsi"/>
        </w:rPr>
        <w:t xml:space="preserve">empowers the </w:t>
      </w:r>
      <w:r>
        <w:rPr>
          <w:rFonts w:cstheme="minorHAnsi"/>
        </w:rPr>
        <w:t xml:space="preserve">Commonwealth </w:t>
      </w:r>
      <w:r w:rsidRPr="000D610A">
        <w:rPr>
          <w:rFonts w:cstheme="minorHAnsi"/>
        </w:rPr>
        <w:t xml:space="preserve">Minister to </w:t>
      </w:r>
      <w:r>
        <w:rPr>
          <w:rFonts w:cstheme="minorHAnsi"/>
        </w:rPr>
        <w:t xml:space="preserve">make or </w:t>
      </w:r>
      <w:r w:rsidRPr="000D610A">
        <w:rPr>
          <w:rFonts w:cstheme="minorHAnsi"/>
        </w:rPr>
        <w:t xml:space="preserve">declare </w:t>
      </w:r>
      <w:r>
        <w:rPr>
          <w:rFonts w:cstheme="minorHAnsi"/>
        </w:rPr>
        <w:t>mandatory</w:t>
      </w:r>
      <w:r w:rsidRPr="000D610A">
        <w:rPr>
          <w:rFonts w:cstheme="minorHAnsi"/>
        </w:rPr>
        <w:t xml:space="preserve"> safety </w:t>
      </w:r>
      <w:r>
        <w:rPr>
          <w:rFonts w:cstheme="minorHAnsi"/>
        </w:rPr>
        <w:t xml:space="preserve">or information </w:t>
      </w:r>
      <w:r w:rsidRPr="000D610A">
        <w:rPr>
          <w:rFonts w:cstheme="minorHAnsi"/>
        </w:rPr>
        <w:t xml:space="preserve">standards </w:t>
      </w:r>
      <w:r>
        <w:rPr>
          <w:rFonts w:cstheme="minorHAnsi"/>
        </w:rPr>
        <w:t>and bans. In making these decisions, the Minister considers the advice of the ACCC, including advice about accepting or adopting international standards</w:t>
      </w:r>
      <w:r w:rsidR="00AA2D2F">
        <w:rPr>
          <w:rFonts w:cstheme="minorHAnsi"/>
        </w:rPr>
        <w:t xml:space="preserve"> and risk assessments</w:t>
      </w:r>
      <w:r>
        <w:rPr>
          <w:rFonts w:cstheme="minorHAnsi"/>
        </w:rPr>
        <w:t>.</w:t>
      </w:r>
      <w:r w:rsidR="00AD0174" w:rsidRPr="00AD0174">
        <w:rPr>
          <w:rFonts w:cstheme="minorHAnsi"/>
        </w:rPr>
        <w:t xml:space="preserve"> </w:t>
      </w:r>
      <w:r w:rsidR="00AD0174">
        <w:rPr>
          <w:rFonts w:cstheme="minorHAnsi"/>
        </w:rPr>
        <w:t xml:space="preserve">An example of this is the mandatory safety standard for baby walkers </w:t>
      </w:r>
      <w:r w:rsidR="00CF1D8F">
        <w:rPr>
          <w:rFonts w:cstheme="minorHAnsi"/>
        </w:rPr>
        <w:t xml:space="preserve">that </w:t>
      </w:r>
      <w:r w:rsidR="00EC34AB">
        <w:rPr>
          <w:rFonts w:cstheme="minorHAnsi"/>
        </w:rPr>
        <w:t xml:space="preserve">was made under the </w:t>
      </w:r>
      <w:r w:rsidR="00C06E74">
        <w:rPr>
          <w:rFonts w:cstheme="minorHAnsi"/>
        </w:rPr>
        <w:t>Australian Consumer Law</w:t>
      </w:r>
      <w:r w:rsidR="00EC34AB">
        <w:rPr>
          <w:rFonts w:cstheme="minorHAnsi"/>
        </w:rPr>
        <w:t xml:space="preserve"> and specified</w:t>
      </w:r>
      <w:r w:rsidR="00AD0174">
        <w:rPr>
          <w:rFonts w:cstheme="minorHAnsi"/>
        </w:rPr>
        <w:t xml:space="preserve"> requirements set out in the </w:t>
      </w:r>
      <w:r w:rsidR="00AD0174" w:rsidRPr="000D610A">
        <w:rPr>
          <w:rFonts w:cstheme="minorHAnsi"/>
        </w:rPr>
        <w:t xml:space="preserve">American Society for Testing and Materials (ASTM) </w:t>
      </w:r>
      <w:r w:rsidR="00AD0174">
        <w:rPr>
          <w:rFonts w:cstheme="minorHAnsi"/>
        </w:rPr>
        <w:t xml:space="preserve">standard </w:t>
      </w:r>
      <w:r w:rsidR="00AD0174" w:rsidRPr="000D610A">
        <w:rPr>
          <w:rFonts w:cstheme="minorHAnsi"/>
        </w:rPr>
        <w:t>for infant walkers.</w:t>
      </w:r>
    </w:p>
    <w:p w:rsidR="00944A8D" w:rsidRDefault="00937309" w:rsidP="00944A8D">
      <w:r>
        <w:t>T</w:t>
      </w:r>
      <w:r w:rsidR="00944A8D">
        <w:t>he version of any standard that is referenced in Commonwealth regulation</w:t>
      </w:r>
      <w:r>
        <w:t xml:space="preserve"> must be specified</w:t>
      </w:r>
      <w:r w:rsidR="00944A8D">
        <w:t xml:space="preserve">. Normally this is done by specifying the year of publication. We cannot draft regulation that updates automatically as standards change over time since this would effectively allow the publisher of the standard to </w:t>
      </w:r>
      <w:r w:rsidR="001921E3">
        <w:t xml:space="preserve">independently </w:t>
      </w:r>
      <w:r w:rsidR="00944A8D">
        <w:t xml:space="preserve">change the law. If a standard is referenced in regulation, then the regulation may need to be reviewed </w:t>
      </w:r>
      <w:r w:rsidR="001921E3">
        <w:t>when</w:t>
      </w:r>
      <w:r w:rsidR="00944A8D">
        <w:t xml:space="preserve"> a new version of the standard is published. </w:t>
      </w:r>
      <w:r w:rsidR="001921E3">
        <w:t>This</w:t>
      </w:r>
      <w:r w:rsidR="00944A8D">
        <w:t xml:space="preserve"> </w:t>
      </w:r>
      <w:r w:rsidR="001921E3">
        <w:t>may</w:t>
      </w:r>
      <w:r w:rsidR="00944A8D">
        <w:t xml:space="preserve"> be </w:t>
      </w:r>
      <w:r w:rsidR="001921E3">
        <w:t xml:space="preserve">challenging if </w:t>
      </w:r>
      <w:r w:rsidR="00944A8D">
        <w:t xml:space="preserve">the standard changes frequently </w:t>
      </w:r>
      <w:r w:rsidR="001921E3">
        <w:t>or if</w:t>
      </w:r>
      <w:r w:rsidR="00944A8D">
        <w:t xml:space="preserve"> </w:t>
      </w:r>
      <w:r w:rsidR="001921E3">
        <w:t>several</w:t>
      </w:r>
      <w:r w:rsidR="00944A8D">
        <w:t xml:space="preserve"> international standards are referenced in a regulation.</w:t>
      </w:r>
    </w:p>
    <w:p w:rsidR="00D2106D" w:rsidRDefault="00D2106D" w:rsidP="00596642">
      <w:pPr>
        <w:rPr>
          <w:rFonts w:cstheme="minorHAnsi"/>
        </w:rPr>
      </w:pPr>
    </w:p>
    <w:p w:rsidR="00B714F4" w:rsidRDefault="00B714F4" w:rsidP="00596642">
      <w:pPr>
        <w:rPr>
          <w:rFonts w:cstheme="minorHAnsi"/>
        </w:rPr>
      </w:pPr>
    </w:p>
    <w:p w:rsidR="00596642" w:rsidRDefault="00596642" w:rsidP="00AA2D2F">
      <w:pPr>
        <w:pStyle w:val="Numbered11"/>
        <w:spacing w:after="120"/>
        <w:ind w:left="709" w:hanging="709"/>
      </w:pPr>
      <w:bookmarkStart w:id="38" w:name="_Toc417561912"/>
      <w:bookmarkStart w:id="39" w:name="_Toc418768592"/>
      <w:bookmarkEnd w:id="38"/>
      <w:r>
        <w:lastRenderedPageBreak/>
        <w:t>Current engagement with international standards</w:t>
      </w:r>
      <w:r w:rsidR="00AA2D2F">
        <w:t xml:space="preserve"> and risk assessments</w:t>
      </w:r>
      <w:bookmarkEnd w:id="39"/>
    </w:p>
    <w:p w:rsidR="00596642" w:rsidRDefault="00596642" w:rsidP="00596642">
      <w:r>
        <w:t>The ACCC is committed to delivering the most appropriate and effective regulatory oversight for the Australian community. While we have always considered</w:t>
      </w:r>
      <w:r w:rsidR="00687DE0">
        <w:t xml:space="preserve"> trusted</w:t>
      </w:r>
      <w:r>
        <w:t xml:space="preserve"> international standards</w:t>
      </w:r>
      <w:r w:rsidR="00AA2D2F">
        <w:t xml:space="preserve"> and risk assessments</w:t>
      </w:r>
      <w:r>
        <w:t xml:space="preserve"> in our regulation work, we are committed to improving the quality of our engagement with these international standards</w:t>
      </w:r>
      <w:r w:rsidR="00AA2D2F">
        <w:t xml:space="preserve"> and risk assessments</w:t>
      </w:r>
      <w:r>
        <w:t xml:space="preserve">. </w:t>
      </w:r>
    </w:p>
    <w:p w:rsidR="00CD4718" w:rsidRDefault="00CD4718" w:rsidP="00596642">
      <w:r>
        <w:t>We recognise the impact of global marketplaces, we cooperate with the international community to address emerging safety hazards and harmonise regulatory approaches.</w:t>
      </w:r>
    </w:p>
    <w:p w:rsidR="00D429A5" w:rsidRDefault="00C15851" w:rsidP="00596642">
      <w:r>
        <w:t>We</w:t>
      </w:r>
      <w:r w:rsidR="00596642">
        <w:t xml:space="preserve"> recognise that our work in standards development and review need</w:t>
      </w:r>
      <w:r w:rsidR="00B8456F">
        <w:t>s</w:t>
      </w:r>
      <w:r w:rsidR="00596642">
        <w:t xml:space="preserve"> to have formal criteria that are known to the public and that help guide our formal policy work. These criteria </w:t>
      </w:r>
      <w:r>
        <w:t>support</w:t>
      </w:r>
      <w:r w:rsidR="00596642">
        <w:t xml:space="preserve"> our commitment and work towards this vision by providing a structure that provides transparency to our work and allow stakeholders to understand our processes. </w:t>
      </w:r>
    </w:p>
    <w:p w:rsidR="00596642" w:rsidRDefault="00596642" w:rsidP="00596642">
      <w:pPr>
        <w:pStyle w:val="Numbered11"/>
        <w:spacing w:after="120"/>
        <w:ind w:left="431" w:hanging="431"/>
        <w:rPr>
          <w:lang w:eastAsia="en-AU"/>
        </w:rPr>
      </w:pPr>
      <w:bookmarkStart w:id="40" w:name="_Toc418690287"/>
      <w:bookmarkStart w:id="41" w:name="_Toc417561914"/>
      <w:bookmarkStart w:id="42" w:name="_Toc417561915"/>
      <w:bookmarkStart w:id="43" w:name="_Toc417371205"/>
      <w:bookmarkStart w:id="44" w:name="_Toc418768593"/>
      <w:bookmarkEnd w:id="40"/>
      <w:bookmarkEnd w:id="41"/>
      <w:bookmarkEnd w:id="42"/>
      <w:r>
        <w:rPr>
          <w:lang w:eastAsia="en-AU"/>
        </w:rPr>
        <w:t>WTO Agreement on Technical Barriers to Trade</w:t>
      </w:r>
      <w:bookmarkEnd w:id="43"/>
      <w:bookmarkEnd w:id="44"/>
    </w:p>
    <w:p w:rsidR="007A1ADE" w:rsidRPr="007A1ADE" w:rsidRDefault="00596642" w:rsidP="00596642">
      <w:pPr>
        <w:rPr>
          <w:lang w:eastAsia="en-AU"/>
        </w:rPr>
      </w:pPr>
      <w:r w:rsidRPr="006377F5">
        <w:rPr>
          <w:lang w:eastAsia="en-AU"/>
        </w:rPr>
        <w:t>Adopting international standards supports the World Trade Organisation (WTO) Technical Barrier to Trade Agreement</w:t>
      </w:r>
      <w:r w:rsidRPr="00CF0CFE">
        <w:rPr>
          <w:lang w:eastAsia="en-AU"/>
        </w:rPr>
        <w:t xml:space="preserve"> strategy for technical regulations that requires signatories to pursue a parallel strategy for technical regulations such as standards.</w:t>
      </w:r>
      <w:r>
        <w:rPr>
          <w:lang w:eastAsia="en-AU"/>
        </w:rPr>
        <w:t xml:space="preserve"> The agreement provides that members will use relevant international standards except in circumstances where they would be an ineffective or inappropriate means to fulfil the objectives pursued. This includes fundamental climatic or geographical factors or fundamental technological problems. The ACCC works with the Department of Foreign Affairs and Trade in ensuring we meet our WTO obligations that relate to mandatory standards</w:t>
      </w:r>
      <w:r w:rsidR="00057B4E">
        <w:rPr>
          <w:lang w:eastAsia="en-AU"/>
        </w:rPr>
        <w:t xml:space="preserve"> and bans</w:t>
      </w:r>
      <w:r>
        <w:rPr>
          <w:lang w:eastAsia="en-AU"/>
        </w:rPr>
        <w:t>.</w:t>
      </w:r>
    </w:p>
    <w:p w:rsidR="00596642" w:rsidRDefault="00F019ED" w:rsidP="00596642">
      <w:pPr>
        <w:pStyle w:val="Numbered11"/>
        <w:spacing w:after="120"/>
        <w:ind w:left="431" w:hanging="431"/>
        <w:rPr>
          <w:lang w:eastAsia="en-AU"/>
        </w:rPr>
      </w:pPr>
      <w:bookmarkStart w:id="45" w:name="_Toc417561917"/>
      <w:bookmarkStart w:id="46" w:name="_Toc418768594"/>
      <w:bookmarkStart w:id="47" w:name="_Toc417371206"/>
      <w:bookmarkEnd w:id="45"/>
      <w:r>
        <w:rPr>
          <w:lang w:eastAsia="en-AU"/>
        </w:rPr>
        <w:t xml:space="preserve">Australian </w:t>
      </w:r>
      <w:r w:rsidR="00596642" w:rsidRPr="00CB7784">
        <w:rPr>
          <w:lang w:eastAsia="en-AU"/>
        </w:rPr>
        <w:t>Standards</w:t>
      </w:r>
      <w:bookmarkEnd w:id="46"/>
      <w:r w:rsidR="00596642" w:rsidRPr="00CB7784">
        <w:rPr>
          <w:lang w:eastAsia="en-AU"/>
        </w:rPr>
        <w:t xml:space="preserve"> </w:t>
      </w:r>
      <w:bookmarkEnd w:id="47"/>
    </w:p>
    <w:p w:rsidR="00F019ED" w:rsidRDefault="00F019ED" w:rsidP="00596642">
      <w:pPr>
        <w:rPr>
          <w:rFonts w:eastAsiaTheme="minorHAnsi"/>
        </w:rPr>
      </w:pPr>
      <w:r w:rsidRPr="00CF0CFE">
        <w:rPr>
          <w:rFonts w:eastAsiaTheme="minorHAnsi"/>
        </w:rPr>
        <w:t xml:space="preserve">Many of the mandatory standards </w:t>
      </w:r>
      <w:r>
        <w:rPr>
          <w:rFonts w:eastAsiaTheme="minorHAnsi"/>
        </w:rPr>
        <w:t xml:space="preserve">administered and </w:t>
      </w:r>
      <w:r w:rsidRPr="00CF0CFE">
        <w:rPr>
          <w:rFonts w:eastAsiaTheme="minorHAnsi"/>
        </w:rPr>
        <w:t xml:space="preserve">enforced by the ACCC reference selected voluntary Australian standards. </w:t>
      </w:r>
      <w:r w:rsidR="00CF1D8F" w:rsidRPr="00CF0CFE">
        <w:rPr>
          <w:rFonts w:eastAsiaTheme="minorHAnsi"/>
        </w:rPr>
        <w:t>In those cases, the ACCC normally participates actively in the relevant Standards Australia technical committee that develops and supports the voluntary standard and encourage</w:t>
      </w:r>
      <w:r w:rsidR="00CF1D8F">
        <w:rPr>
          <w:rFonts w:eastAsiaTheme="minorHAnsi"/>
        </w:rPr>
        <w:t>s</w:t>
      </w:r>
      <w:r w:rsidR="00CF1D8F" w:rsidRPr="00CF0CFE">
        <w:rPr>
          <w:rFonts w:eastAsiaTheme="minorHAnsi"/>
        </w:rPr>
        <w:t xml:space="preserve"> acceptance of international standards within the voluntary standard.</w:t>
      </w:r>
    </w:p>
    <w:p w:rsidR="00596642" w:rsidRDefault="00596642" w:rsidP="00596642">
      <w:pPr>
        <w:rPr>
          <w:rFonts w:cstheme="minorHAnsi"/>
        </w:rPr>
      </w:pPr>
      <w:r w:rsidRPr="00CF0CFE">
        <w:rPr>
          <w:rFonts w:cstheme="minorHAnsi"/>
        </w:rPr>
        <w:t>The Commonwealth memorandum of understanding (MOU) with Standards Australia says that Standards Australia will “utilise accepted international standards to the maximum extent possible and will only depart from this practice where there are compelling reasons to do so”.</w:t>
      </w:r>
    </w:p>
    <w:p w:rsidR="000B625D" w:rsidRPr="00CF0CFE" w:rsidRDefault="000B625D" w:rsidP="00596642">
      <w:pPr>
        <w:rPr>
          <w:rFonts w:cstheme="minorHAnsi"/>
        </w:rPr>
      </w:pPr>
    </w:p>
    <w:p w:rsidR="00596642" w:rsidRDefault="00596642" w:rsidP="00596642">
      <w:pPr>
        <w:pStyle w:val="Numbered1"/>
        <w:ind w:left="360" w:hanging="360"/>
      </w:pPr>
      <w:bookmarkStart w:id="48" w:name="_Toc418768595"/>
      <w:r>
        <w:t>Criteria</w:t>
      </w:r>
      <w:bookmarkEnd w:id="48"/>
      <w:r>
        <w:t xml:space="preserve"> </w:t>
      </w:r>
    </w:p>
    <w:p w:rsidR="00596642" w:rsidRDefault="00596642" w:rsidP="00596642">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The criteria</w:t>
      </w:r>
      <w:r w:rsidR="0077755F">
        <w:rPr>
          <w:rFonts w:asciiTheme="minorHAnsi" w:hAnsiTheme="minorHAnsi" w:cstheme="minorHAnsi"/>
          <w:color w:val="auto"/>
          <w:sz w:val="22"/>
          <w:szCs w:val="22"/>
        </w:rPr>
        <w:t xml:space="preserve"> proposed below for accepting or adopting trusted international standards and risk assessments</w:t>
      </w:r>
      <w:r>
        <w:rPr>
          <w:rFonts w:asciiTheme="minorHAnsi" w:hAnsiTheme="minorHAnsi" w:cstheme="minorHAnsi"/>
          <w:color w:val="auto"/>
          <w:sz w:val="22"/>
          <w:szCs w:val="22"/>
        </w:rPr>
        <w:t xml:space="preserve"> </w:t>
      </w:r>
      <w:r w:rsidR="00EE7745">
        <w:rPr>
          <w:rFonts w:asciiTheme="minorHAnsi" w:hAnsiTheme="minorHAnsi" w:cstheme="minorHAnsi"/>
          <w:color w:val="auto"/>
          <w:sz w:val="22"/>
          <w:szCs w:val="22"/>
        </w:rPr>
        <w:t xml:space="preserve">would </w:t>
      </w:r>
      <w:r>
        <w:rPr>
          <w:rFonts w:asciiTheme="minorHAnsi" w:hAnsiTheme="minorHAnsi" w:cstheme="minorHAnsi"/>
          <w:color w:val="auto"/>
          <w:sz w:val="22"/>
          <w:szCs w:val="22"/>
        </w:rPr>
        <w:t xml:space="preserve">assist the ACCC identify </w:t>
      </w:r>
      <w:r w:rsidRPr="0046580B">
        <w:rPr>
          <w:rFonts w:asciiTheme="minorHAnsi" w:hAnsiTheme="minorHAnsi" w:cstheme="minorHAnsi"/>
          <w:i/>
          <w:color w:val="auto"/>
          <w:sz w:val="22"/>
          <w:szCs w:val="22"/>
        </w:rPr>
        <w:t>trusted</w:t>
      </w:r>
      <w:r>
        <w:rPr>
          <w:rFonts w:asciiTheme="minorHAnsi" w:hAnsiTheme="minorHAnsi" w:cstheme="minorHAnsi"/>
          <w:color w:val="auto"/>
          <w:sz w:val="22"/>
          <w:szCs w:val="22"/>
        </w:rPr>
        <w:t xml:space="preserve"> international standards</w:t>
      </w:r>
      <w:r w:rsidR="00AA2D2F">
        <w:rPr>
          <w:rFonts w:asciiTheme="minorHAnsi" w:hAnsiTheme="minorHAnsi" w:cstheme="minorHAnsi"/>
          <w:color w:val="auto"/>
          <w:sz w:val="22"/>
          <w:szCs w:val="22"/>
        </w:rPr>
        <w:t xml:space="preserve"> and risk assessments</w:t>
      </w:r>
      <w:r w:rsidR="002C29F7">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that might be used to protect consumers from unsafe goods while at the same time </w:t>
      </w:r>
      <w:r w:rsidR="00EE7745">
        <w:rPr>
          <w:rFonts w:asciiTheme="minorHAnsi" w:hAnsiTheme="minorHAnsi" w:cstheme="minorHAnsi"/>
          <w:color w:val="auto"/>
          <w:sz w:val="22"/>
          <w:szCs w:val="22"/>
        </w:rPr>
        <w:t>minimising additional costs</w:t>
      </w:r>
      <w:r w:rsidR="002C29F7">
        <w:rPr>
          <w:rFonts w:asciiTheme="minorHAnsi" w:hAnsiTheme="minorHAnsi" w:cstheme="minorHAnsi"/>
          <w:color w:val="auto"/>
          <w:sz w:val="22"/>
          <w:szCs w:val="22"/>
        </w:rPr>
        <w:t>, and/or cutting red tape</w:t>
      </w:r>
      <w:r w:rsidR="00EE7745">
        <w:rPr>
          <w:rFonts w:asciiTheme="minorHAnsi" w:hAnsiTheme="minorHAnsi" w:cstheme="minorHAnsi"/>
          <w:color w:val="auto"/>
          <w:sz w:val="22"/>
          <w:szCs w:val="22"/>
        </w:rPr>
        <w:t xml:space="preserve"> for business</w:t>
      </w:r>
      <w:r w:rsidR="002C29F7">
        <w:rPr>
          <w:rFonts w:asciiTheme="minorHAnsi" w:hAnsiTheme="minorHAnsi" w:cstheme="minorHAnsi"/>
          <w:color w:val="auto"/>
          <w:sz w:val="22"/>
          <w:szCs w:val="22"/>
        </w:rPr>
        <w:t>.</w:t>
      </w:r>
      <w:r w:rsidR="00C32F0D">
        <w:rPr>
          <w:rFonts w:asciiTheme="minorHAnsi" w:hAnsiTheme="minorHAnsi" w:cstheme="minorHAnsi"/>
          <w:color w:val="auto"/>
          <w:sz w:val="22"/>
          <w:szCs w:val="22"/>
        </w:rPr>
        <w:t xml:space="preserve"> </w:t>
      </w:r>
    </w:p>
    <w:p w:rsidR="00421DC5" w:rsidRPr="00541BA2" w:rsidRDefault="00421DC5" w:rsidP="00421DC5">
      <w:pPr>
        <w:autoSpaceDE w:val="0"/>
        <w:autoSpaceDN w:val="0"/>
        <w:rPr>
          <w:rFonts w:cstheme="minorHAnsi"/>
        </w:rPr>
      </w:pPr>
      <w:r w:rsidRPr="00541BA2">
        <w:rPr>
          <w:rFonts w:cstheme="minorHAnsi"/>
          <w:lang w:val="en"/>
        </w:rPr>
        <w:t xml:space="preserve">When an </w:t>
      </w:r>
      <w:r w:rsidRPr="00541BA2">
        <w:rPr>
          <w:rFonts w:cstheme="minorHAnsi"/>
        </w:rPr>
        <w:t xml:space="preserve">approved system, service or product </w:t>
      </w:r>
      <w:r w:rsidRPr="00541BA2">
        <w:rPr>
          <w:rFonts w:cstheme="minorHAnsi"/>
          <w:lang w:val="en"/>
        </w:rPr>
        <w:t>already exist</w:t>
      </w:r>
      <w:r w:rsidR="00057B4E">
        <w:rPr>
          <w:rFonts w:cstheme="minorHAnsi"/>
          <w:lang w:val="en"/>
        </w:rPr>
        <w:t>s</w:t>
      </w:r>
      <w:r w:rsidRPr="00541BA2">
        <w:rPr>
          <w:rFonts w:cstheme="minorHAnsi"/>
          <w:lang w:val="en"/>
        </w:rPr>
        <w:t xml:space="preserve"> in an international market or an international agreement</w:t>
      </w:r>
      <w:r>
        <w:rPr>
          <w:rFonts w:cstheme="minorHAnsi"/>
          <w:lang w:val="en"/>
        </w:rPr>
        <w:t xml:space="preserve"> exists</w:t>
      </w:r>
      <w:r w:rsidRPr="00541BA2">
        <w:rPr>
          <w:rFonts w:cstheme="minorHAnsi"/>
          <w:lang w:val="en"/>
        </w:rPr>
        <w:t>, t</w:t>
      </w:r>
      <w:r w:rsidRPr="00541BA2">
        <w:rPr>
          <w:rFonts w:cstheme="minorHAnsi"/>
        </w:rPr>
        <w:t xml:space="preserve">he following </w:t>
      </w:r>
      <w:r w:rsidR="00F019ED">
        <w:rPr>
          <w:rFonts w:cstheme="minorHAnsi"/>
        </w:rPr>
        <w:t xml:space="preserve">three </w:t>
      </w:r>
      <w:r w:rsidRPr="00541BA2">
        <w:rPr>
          <w:rFonts w:cstheme="minorHAnsi"/>
        </w:rPr>
        <w:t xml:space="preserve">criteria </w:t>
      </w:r>
      <w:r>
        <w:rPr>
          <w:rFonts w:cstheme="minorHAnsi"/>
        </w:rPr>
        <w:t>will</w:t>
      </w:r>
      <w:r w:rsidRPr="00541BA2">
        <w:rPr>
          <w:rFonts w:cstheme="minorHAnsi"/>
        </w:rPr>
        <w:t xml:space="preserve"> form a basis for </w:t>
      </w:r>
      <w:r>
        <w:rPr>
          <w:rFonts w:cstheme="minorHAnsi"/>
        </w:rPr>
        <w:t>the ACCC</w:t>
      </w:r>
      <w:r w:rsidRPr="00541BA2">
        <w:rPr>
          <w:rFonts w:cstheme="minorHAnsi"/>
        </w:rPr>
        <w:t xml:space="preserve"> to assess the potential for Australia to adopt and accept international standards </w:t>
      </w:r>
      <w:r w:rsidR="00AA2D2F">
        <w:rPr>
          <w:rFonts w:cstheme="minorHAnsi"/>
        </w:rPr>
        <w:t xml:space="preserve">and risk </w:t>
      </w:r>
      <w:r w:rsidR="00AA2D2F">
        <w:rPr>
          <w:rFonts w:cstheme="minorHAnsi"/>
        </w:rPr>
        <w:lastRenderedPageBreak/>
        <w:t xml:space="preserve">assessments </w:t>
      </w:r>
      <w:r w:rsidR="00687DE0">
        <w:rPr>
          <w:rFonts w:cstheme="minorHAnsi"/>
        </w:rPr>
        <w:t>or</w:t>
      </w:r>
      <w:r w:rsidRPr="00541BA2">
        <w:rPr>
          <w:rFonts w:cstheme="minorHAnsi"/>
        </w:rPr>
        <w:t xml:space="preserve"> remove duplicate and/or unnecessary Australian-specific standards</w:t>
      </w:r>
      <w:r w:rsidR="00AA2D2F">
        <w:rPr>
          <w:rFonts w:cstheme="minorHAnsi"/>
        </w:rPr>
        <w:t xml:space="preserve"> and regulations</w:t>
      </w:r>
      <w:r w:rsidRPr="00541BA2">
        <w:rPr>
          <w:rFonts w:cstheme="minorHAnsi"/>
        </w:rPr>
        <w:t>.</w:t>
      </w:r>
      <w:r w:rsidR="00984D3E">
        <w:rPr>
          <w:rFonts w:cstheme="minorHAnsi"/>
        </w:rPr>
        <w:t xml:space="preserve"> Applying these criteria will enable the ACCC to be consistent with the Government’s principle </w:t>
      </w:r>
      <w:r w:rsidR="0030063D">
        <w:rPr>
          <w:rFonts w:cstheme="minorHAnsi"/>
        </w:rPr>
        <w:t>on</w:t>
      </w:r>
      <w:r w:rsidR="00984D3E">
        <w:rPr>
          <w:rFonts w:cstheme="minorHAnsi"/>
        </w:rPr>
        <w:t xml:space="preserve"> international standards and risk assessments. </w:t>
      </w:r>
    </w:p>
    <w:p w:rsidR="00596642" w:rsidRPr="00423E6A" w:rsidRDefault="00596642" w:rsidP="00596642">
      <w:pPr>
        <w:pStyle w:val="Heading2"/>
      </w:pPr>
      <w:bookmarkStart w:id="49" w:name="_Toc418768596"/>
      <w:r>
        <w:t>Criterion 1 - Addressing safety concerns</w:t>
      </w:r>
      <w:bookmarkEnd w:id="49"/>
    </w:p>
    <w:p w:rsidR="00596642" w:rsidRDefault="00596642" w:rsidP="00596642">
      <w:pPr>
        <w:pStyle w:val="Bulletpoint"/>
      </w:pPr>
      <w:r>
        <w:t xml:space="preserve">Do any international standards </w:t>
      </w:r>
      <w:r w:rsidR="00AA2D2F">
        <w:t xml:space="preserve">or risk assessments </w:t>
      </w:r>
      <w:r>
        <w:t>adequately address the consumer product safety concerns?</w:t>
      </w:r>
    </w:p>
    <w:p w:rsidR="00596642" w:rsidRPr="00EB16BB" w:rsidRDefault="00596642" w:rsidP="00596642">
      <w:pPr>
        <w:pStyle w:val="Bulletpoint2"/>
        <w:numPr>
          <w:ilvl w:val="0"/>
          <w:numId w:val="0"/>
        </w:numPr>
        <w:rPr>
          <w:b/>
        </w:rPr>
      </w:pPr>
      <w:r w:rsidRPr="00EB16BB">
        <w:rPr>
          <w:b/>
        </w:rPr>
        <w:t xml:space="preserve">How </w:t>
      </w:r>
      <w:r w:rsidR="0077755F">
        <w:rPr>
          <w:b/>
        </w:rPr>
        <w:t>would we</w:t>
      </w:r>
      <w:r w:rsidRPr="00EB16BB">
        <w:rPr>
          <w:b/>
        </w:rPr>
        <w:t xml:space="preserve"> do this?</w:t>
      </w:r>
    </w:p>
    <w:p w:rsidR="00596642" w:rsidRDefault="00596642" w:rsidP="00596642">
      <w:pPr>
        <w:pStyle w:val="Bulletpoint"/>
      </w:pPr>
      <w:r>
        <w:t xml:space="preserve">Are there appropriate international standards </w:t>
      </w:r>
      <w:r w:rsidR="00AA2D2F">
        <w:t xml:space="preserve">and risk assessments </w:t>
      </w:r>
      <w:r>
        <w:t xml:space="preserve">that provide adequate </w:t>
      </w:r>
      <w:r w:rsidR="00AA2D2F">
        <w:t xml:space="preserve">consumer </w:t>
      </w:r>
      <w:r>
        <w:t xml:space="preserve">safety? </w:t>
      </w:r>
    </w:p>
    <w:p w:rsidR="00596642" w:rsidRPr="008B18C8" w:rsidRDefault="00596642" w:rsidP="00596642">
      <w:pPr>
        <w:pStyle w:val="Bulletpoint"/>
        <w:rPr>
          <w:rFonts w:cstheme="minorHAnsi"/>
        </w:rPr>
      </w:pPr>
      <w:r w:rsidRPr="008B18C8">
        <w:rPr>
          <w:rFonts w:cstheme="minorHAnsi"/>
        </w:rPr>
        <w:t>When considering an international standard</w:t>
      </w:r>
      <w:r w:rsidR="00AA2D2F">
        <w:rPr>
          <w:rFonts w:cstheme="minorHAnsi"/>
        </w:rPr>
        <w:t xml:space="preserve"> or risk assessment</w:t>
      </w:r>
      <w:r w:rsidRPr="008B18C8">
        <w:rPr>
          <w:rFonts w:cstheme="minorHAnsi"/>
        </w:rPr>
        <w:t xml:space="preserve"> we will not disregard its application on the basis that it may not be </w:t>
      </w:r>
      <w:r w:rsidRPr="008B18C8">
        <w:rPr>
          <w:rFonts w:cstheme="minorHAnsi"/>
          <w:i/>
        </w:rPr>
        <w:t>the best</w:t>
      </w:r>
      <w:r w:rsidRPr="008B18C8">
        <w:rPr>
          <w:rFonts w:cstheme="minorHAnsi"/>
        </w:rPr>
        <w:t xml:space="preserve"> </w:t>
      </w:r>
      <w:r w:rsidR="00D2106D" w:rsidRPr="00526D65">
        <w:rPr>
          <w:rFonts w:cstheme="minorHAnsi"/>
        </w:rPr>
        <w:t xml:space="preserve">safety </w:t>
      </w:r>
      <w:r w:rsidR="00D2106D">
        <w:rPr>
          <w:rFonts w:cstheme="minorHAnsi"/>
        </w:rPr>
        <w:t>practice</w:t>
      </w:r>
      <w:r w:rsidRPr="008B18C8">
        <w:rPr>
          <w:rFonts w:cstheme="minorHAnsi"/>
        </w:rPr>
        <w:t xml:space="preserve">, so long as it achieves </w:t>
      </w:r>
      <w:r w:rsidRPr="008B18C8">
        <w:t>a</w:t>
      </w:r>
      <w:r w:rsidR="0025611E">
        <w:t xml:space="preserve">n acceptable </w:t>
      </w:r>
      <w:r w:rsidRPr="008B18C8">
        <w:rPr>
          <w:rFonts w:cstheme="minorHAnsi"/>
        </w:rPr>
        <w:t>level of safety for consumers.</w:t>
      </w:r>
    </w:p>
    <w:p w:rsidR="00D2106D" w:rsidRPr="00FA4C42" w:rsidRDefault="00D2106D" w:rsidP="00596642">
      <w:pPr>
        <w:pStyle w:val="Bulletpoint2"/>
        <w:numPr>
          <w:ilvl w:val="0"/>
          <w:numId w:val="0"/>
        </w:numPr>
      </w:pPr>
    </w:p>
    <w:p w:rsidR="00596642" w:rsidRPr="00423E6A" w:rsidRDefault="00596642" w:rsidP="00596642">
      <w:pPr>
        <w:pStyle w:val="Heading2"/>
      </w:pPr>
      <w:bookmarkStart w:id="50" w:name="_Toc418768597"/>
      <w:r>
        <w:t>Criterion 2 - Comparable jurisdiction to Australia</w:t>
      </w:r>
      <w:bookmarkEnd w:id="50"/>
    </w:p>
    <w:p w:rsidR="00596642" w:rsidRDefault="00596642" w:rsidP="00596642">
      <w:pPr>
        <w:pStyle w:val="Bulletpoint"/>
      </w:pPr>
      <w:r w:rsidRPr="00CB7784">
        <w:t>Is the international standard</w:t>
      </w:r>
      <w:r w:rsidR="001C40AD">
        <w:t xml:space="preserve"> or risk assessment</w:t>
      </w:r>
      <w:r w:rsidRPr="00CB7784">
        <w:t xml:space="preserve"> published</w:t>
      </w:r>
      <w:r w:rsidR="001C40AD">
        <w:t xml:space="preserve"> or developed</w:t>
      </w:r>
      <w:r w:rsidRPr="00CB7784">
        <w:t xml:space="preserve"> by a legitimate standards body or government agency from an economy or nation with comparable economic and regulatory processes to Australia?</w:t>
      </w:r>
    </w:p>
    <w:p w:rsidR="00596642" w:rsidRPr="00EB16BB" w:rsidRDefault="00596642" w:rsidP="00596642">
      <w:pPr>
        <w:pStyle w:val="Bulletpoint"/>
        <w:numPr>
          <w:ilvl w:val="0"/>
          <w:numId w:val="0"/>
        </w:numPr>
        <w:rPr>
          <w:b/>
        </w:rPr>
      </w:pPr>
      <w:r w:rsidRPr="00EB16BB">
        <w:rPr>
          <w:b/>
        </w:rPr>
        <w:t xml:space="preserve">How </w:t>
      </w:r>
      <w:r w:rsidR="0077755F">
        <w:rPr>
          <w:b/>
        </w:rPr>
        <w:t>would we do</w:t>
      </w:r>
      <w:r w:rsidRPr="00EB16BB">
        <w:rPr>
          <w:b/>
        </w:rPr>
        <w:t xml:space="preserve"> this?</w:t>
      </w:r>
    </w:p>
    <w:p w:rsidR="00596642" w:rsidRDefault="00CF1D8F" w:rsidP="00596642">
      <w:pPr>
        <w:pStyle w:val="Bulletpoint"/>
        <w:rPr>
          <w:rFonts w:eastAsia="Times New Roman" w:cstheme="minorHAnsi"/>
          <w:lang w:eastAsia="en-AU"/>
        </w:rPr>
      </w:pPr>
      <w:r>
        <w:rPr>
          <w:rFonts w:eastAsia="Times New Roman" w:cstheme="minorHAnsi"/>
          <w:lang w:eastAsia="en-AU"/>
        </w:rPr>
        <w:t xml:space="preserve">We </w:t>
      </w:r>
      <w:r w:rsidR="0077755F">
        <w:rPr>
          <w:rFonts w:eastAsia="Times New Roman" w:cstheme="minorHAnsi"/>
          <w:lang w:eastAsia="en-AU"/>
        </w:rPr>
        <w:t xml:space="preserve">would </w:t>
      </w:r>
      <w:r>
        <w:rPr>
          <w:rFonts w:eastAsia="Times New Roman" w:cstheme="minorHAnsi"/>
          <w:lang w:eastAsia="en-AU"/>
        </w:rPr>
        <w:t>consider whether</w:t>
      </w:r>
      <w:r w:rsidRPr="005C0D01">
        <w:rPr>
          <w:rFonts w:eastAsia="Times New Roman" w:cstheme="minorHAnsi"/>
          <w:lang w:eastAsia="en-AU"/>
        </w:rPr>
        <w:t xml:space="preserve"> </w:t>
      </w:r>
      <w:r w:rsidR="00596642" w:rsidRPr="005C0D01">
        <w:rPr>
          <w:rFonts w:eastAsia="Times New Roman" w:cstheme="minorHAnsi"/>
          <w:lang w:eastAsia="en-AU"/>
        </w:rPr>
        <w:t xml:space="preserve">the </w:t>
      </w:r>
      <w:r>
        <w:rPr>
          <w:rFonts w:eastAsia="Times New Roman" w:cstheme="minorHAnsi"/>
          <w:lang w:eastAsia="en-AU"/>
        </w:rPr>
        <w:t xml:space="preserve">international </w:t>
      </w:r>
      <w:r w:rsidR="00596642" w:rsidRPr="005C0D01">
        <w:rPr>
          <w:rFonts w:eastAsia="Times New Roman" w:cstheme="minorHAnsi"/>
          <w:lang w:eastAsia="en-AU"/>
        </w:rPr>
        <w:t>regulatory and standards making processes</w:t>
      </w:r>
      <w:r w:rsidR="00596642">
        <w:rPr>
          <w:rFonts w:eastAsia="Times New Roman" w:cstheme="minorHAnsi"/>
          <w:lang w:eastAsia="en-AU"/>
        </w:rPr>
        <w:t xml:space="preserve"> and institutions </w:t>
      </w:r>
      <w:r>
        <w:rPr>
          <w:rFonts w:eastAsia="Times New Roman" w:cstheme="minorHAnsi"/>
          <w:lang w:eastAsia="en-AU"/>
        </w:rPr>
        <w:t xml:space="preserve">are </w:t>
      </w:r>
      <w:r w:rsidR="00596642">
        <w:rPr>
          <w:rFonts w:eastAsia="Times New Roman" w:cstheme="minorHAnsi"/>
          <w:lang w:eastAsia="en-AU"/>
        </w:rPr>
        <w:t>robust and comparable to those of Australia</w:t>
      </w:r>
      <w:r>
        <w:rPr>
          <w:rFonts w:eastAsia="Times New Roman" w:cstheme="minorHAnsi"/>
          <w:lang w:eastAsia="en-AU"/>
        </w:rPr>
        <w:t>.</w:t>
      </w:r>
    </w:p>
    <w:p w:rsidR="00FF0223" w:rsidRDefault="00FF0223" w:rsidP="00AC26AE">
      <w:pPr>
        <w:pStyle w:val="Bulletpoint2"/>
        <w:rPr>
          <w:rFonts w:eastAsia="Times New Roman"/>
          <w:lang w:eastAsia="en-AU"/>
        </w:rPr>
      </w:pPr>
      <w:r>
        <w:rPr>
          <w:rFonts w:eastAsia="Times New Roman"/>
          <w:lang w:eastAsia="en-AU"/>
        </w:rPr>
        <w:t>Does the standards body or government agency have a credible and consistent track record?</w:t>
      </w:r>
    </w:p>
    <w:p w:rsidR="00FF0223" w:rsidRDefault="00FF0223" w:rsidP="00AC26AE">
      <w:pPr>
        <w:pStyle w:val="Bulletpoint2"/>
        <w:rPr>
          <w:rFonts w:eastAsia="Times New Roman"/>
          <w:lang w:eastAsia="en-AU"/>
        </w:rPr>
      </w:pPr>
      <w:r>
        <w:rPr>
          <w:rFonts w:eastAsia="Times New Roman"/>
          <w:lang w:eastAsia="en-AU"/>
        </w:rPr>
        <w:t xml:space="preserve">Are </w:t>
      </w:r>
      <w:r w:rsidR="00AE50A6">
        <w:rPr>
          <w:rFonts w:eastAsia="Times New Roman"/>
          <w:lang w:eastAsia="en-AU"/>
        </w:rPr>
        <w:t>the international standards and risk assessments</w:t>
      </w:r>
      <w:r>
        <w:rPr>
          <w:rFonts w:eastAsia="Times New Roman"/>
          <w:lang w:eastAsia="en-AU"/>
        </w:rPr>
        <w:t xml:space="preserve"> developed via publicly transparent </w:t>
      </w:r>
      <w:r w:rsidR="00AE50A6">
        <w:rPr>
          <w:rFonts w:eastAsia="Times New Roman"/>
          <w:lang w:eastAsia="en-AU"/>
        </w:rPr>
        <w:t xml:space="preserve">assessment </w:t>
      </w:r>
      <w:r>
        <w:rPr>
          <w:rFonts w:eastAsia="Times New Roman"/>
          <w:lang w:eastAsia="en-AU"/>
        </w:rPr>
        <w:t>processes?</w:t>
      </w:r>
    </w:p>
    <w:p w:rsidR="001C40AD" w:rsidRDefault="001C40AD" w:rsidP="00AC26AE">
      <w:pPr>
        <w:pStyle w:val="Bulletpoint2"/>
        <w:rPr>
          <w:rFonts w:eastAsia="Times New Roman"/>
          <w:lang w:eastAsia="en-AU"/>
        </w:rPr>
      </w:pPr>
      <w:r>
        <w:rPr>
          <w:rFonts w:eastAsia="Times New Roman"/>
          <w:lang w:eastAsia="en-AU"/>
        </w:rPr>
        <w:t>Is there a record of actively managing the quality of standards and assessments (such as peer review, independent assessment auditing of processes and outcomes</w:t>
      </w:r>
      <w:r w:rsidR="0077755F">
        <w:rPr>
          <w:rFonts w:eastAsia="Times New Roman"/>
          <w:lang w:eastAsia="en-AU"/>
        </w:rPr>
        <w:t>, periodic reviews</w:t>
      </w:r>
      <w:r>
        <w:rPr>
          <w:rFonts w:eastAsia="Times New Roman"/>
          <w:lang w:eastAsia="en-AU"/>
        </w:rPr>
        <w:t>)?</w:t>
      </w:r>
    </w:p>
    <w:p w:rsidR="00EC34AB" w:rsidRDefault="00EC34AB" w:rsidP="00596642">
      <w:pPr>
        <w:pStyle w:val="Bulletpoint"/>
        <w:rPr>
          <w:rFonts w:eastAsia="Times New Roman" w:cstheme="minorHAnsi"/>
          <w:lang w:eastAsia="en-AU"/>
        </w:rPr>
      </w:pPr>
      <w:r>
        <w:rPr>
          <w:rFonts w:eastAsia="Times New Roman" w:cstheme="minorHAnsi"/>
          <w:lang w:eastAsia="en-AU"/>
        </w:rPr>
        <w:t xml:space="preserve">We </w:t>
      </w:r>
      <w:r w:rsidR="0077755F">
        <w:rPr>
          <w:rFonts w:eastAsia="Times New Roman" w:cstheme="minorHAnsi"/>
          <w:lang w:eastAsia="en-AU"/>
        </w:rPr>
        <w:t xml:space="preserve">would </w:t>
      </w:r>
      <w:r>
        <w:rPr>
          <w:rFonts w:eastAsia="Times New Roman" w:cstheme="minorHAnsi"/>
          <w:lang w:eastAsia="en-AU"/>
        </w:rPr>
        <w:t>also consider:</w:t>
      </w:r>
    </w:p>
    <w:p w:rsidR="00596642" w:rsidRDefault="00596642" w:rsidP="00EC34AB">
      <w:pPr>
        <w:pStyle w:val="Bulletpoint"/>
        <w:numPr>
          <w:ilvl w:val="0"/>
          <w:numId w:val="41"/>
        </w:numPr>
        <w:ind w:left="993" w:hanging="426"/>
        <w:rPr>
          <w:rFonts w:eastAsia="Times New Roman" w:cstheme="minorHAnsi"/>
          <w:lang w:eastAsia="en-AU"/>
        </w:rPr>
      </w:pPr>
      <w:r>
        <w:rPr>
          <w:rFonts w:eastAsia="Times New Roman" w:cstheme="minorHAnsi"/>
          <w:lang w:eastAsia="en-AU"/>
        </w:rPr>
        <w:t xml:space="preserve">Does the </w:t>
      </w:r>
      <w:r w:rsidR="001C40AD">
        <w:rPr>
          <w:rFonts w:eastAsia="Times New Roman" w:cstheme="minorHAnsi"/>
          <w:lang w:eastAsia="en-AU"/>
        </w:rPr>
        <w:t xml:space="preserve">international </w:t>
      </w:r>
      <w:r>
        <w:rPr>
          <w:rFonts w:eastAsia="Times New Roman" w:cstheme="minorHAnsi"/>
          <w:lang w:eastAsia="en-AU"/>
        </w:rPr>
        <w:t>standard</w:t>
      </w:r>
      <w:r w:rsidR="00AE50A6">
        <w:rPr>
          <w:rFonts w:eastAsia="Times New Roman" w:cstheme="minorHAnsi"/>
          <w:lang w:eastAsia="en-AU"/>
        </w:rPr>
        <w:t xml:space="preserve"> or risk assessment</w:t>
      </w:r>
      <w:r>
        <w:rPr>
          <w:rFonts w:eastAsia="Times New Roman" w:cstheme="minorHAnsi"/>
          <w:lang w:eastAsia="en-AU"/>
        </w:rPr>
        <w:t xml:space="preserve"> specify requirements for products supplied into a market</w:t>
      </w:r>
      <w:r w:rsidRPr="00110B03">
        <w:rPr>
          <w:rFonts w:eastAsia="Times New Roman" w:cstheme="minorHAnsi"/>
          <w:lang w:eastAsia="en-AU"/>
        </w:rPr>
        <w:t xml:space="preserve"> </w:t>
      </w:r>
      <w:r>
        <w:rPr>
          <w:rFonts w:eastAsia="Times New Roman" w:cstheme="minorHAnsi"/>
          <w:lang w:eastAsia="en-AU"/>
        </w:rPr>
        <w:t>economy?</w:t>
      </w:r>
    </w:p>
    <w:p w:rsidR="00596642" w:rsidRDefault="00596642" w:rsidP="00EC34AB">
      <w:pPr>
        <w:pStyle w:val="Bulletpoint"/>
        <w:numPr>
          <w:ilvl w:val="0"/>
          <w:numId w:val="41"/>
        </w:numPr>
        <w:ind w:left="993" w:hanging="426"/>
        <w:rPr>
          <w:rFonts w:eastAsia="Times New Roman" w:cstheme="minorHAnsi"/>
          <w:lang w:eastAsia="en-AU"/>
        </w:rPr>
      </w:pPr>
      <w:r>
        <w:rPr>
          <w:rFonts w:eastAsia="Times New Roman" w:cstheme="minorHAnsi"/>
          <w:lang w:eastAsia="en-AU"/>
        </w:rPr>
        <w:t xml:space="preserve">Is the </w:t>
      </w:r>
      <w:r w:rsidR="001C40AD">
        <w:rPr>
          <w:rFonts w:eastAsia="Times New Roman" w:cstheme="minorHAnsi"/>
          <w:lang w:eastAsia="en-AU"/>
        </w:rPr>
        <w:t xml:space="preserve">international </w:t>
      </w:r>
      <w:r>
        <w:rPr>
          <w:rFonts w:eastAsia="Times New Roman" w:cstheme="minorHAnsi"/>
          <w:lang w:eastAsia="en-AU"/>
        </w:rPr>
        <w:t>standard</w:t>
      </w:r>
      <w:r w:rsidR="001C40AD">
        <w:rPr>
          <w:rFonts w:eastAsia="Times New Roman" w:cstheme="minorHAnsi"/>
          <w:lang w:eastAsia="en-AU"/>
        </w:rPr>
        <w:t xml:space="preserve"> or risk assessment</w:t>
      </w:r>
      <w:r>
        <w:rPr>
          <w:rFonts w:eastAsia="Times New Roman" w:cstheme="minorHAnsi"/>
          <w:lang w:eastAsia="en-AU"/>
        </w:rPr>
        <w:t xml:space="preserve"> accepted as authoritative by stakeholders in the relevant jurisdiction? </w:t>
      </w:r>
    </w:p>
    <w:p w:rsidR="00596642" w:rsidRDefault="00596642" w:rsidP="00596642">
      <w:pPr>
        <w:pStyle w:val="Bulletpoint"/>
        <w:numPr>
          <w:ilvl w:val="0"/>
          <w:numId w:val="0"/>
        </w:numPr>
        <w:rPr>
          <w:rFonts w:eastAsia="Times New Roman"/>
          <w:lang w:eastAsia="en-AU"/>
        </w:rPr>
      </w:pPr>
    </w:p>
    <w:p w:rsidR="00596642" w:rsidRDefault="00596642" w:rsidP="00AE50A6">
      <w:pPr>
        <w:pStyle w:val="Heading2"/>
        <w:keepNext/>
      </w:pPr>
      <w:bookmarkStart w:id="51" w:name="_Toc418768598"/>
      <w:r>
        <w:t>Criterion 3 - Applicability to the Australian context</w:t>
      </w:r>
      <w:bookmarkEnd w:id="51"/>
    </w:p>
    <w:p w:rsidR="00596642" w:rsidRDefault="00596642" w:rsidP="00596642">
      <w:pPr>
        <w:pStyle w:val="Bulletpoint"/>
      </w:pPr>
      <w:r w:rsidRPr="00CB7784">
        <w:t xml:space="preserve">Is the international standard </w:t>
      </w:r>
      <w:r w:rsidR="001C40AD">
        <w:t xml:space="preserve">or risk assessment </w:t>
      </w:r>
      <w:r w:rsidRPr="00CB7784">
        <w:t>applicable to the Australian context?</w:t>
      </w:r>
    </w:p>
    <w:p w:rsidR="00596642" w:rsidRPr="00EB16BB" w:rsidRDefault="00596642" w:rsidP="00596642">
      <w:pPr>
        <w:rPr>
          <w:b/>
        </w:rPr>
      </w:pPr>
      <w:r w:rsidRPr="00EB16BB">
        <w:rPr>
          <w:b/>
        </w:rPr>
        <w:lastRenderedPageBreak/>
        <w:t xml:space="preserve">How </w:t>
      </w:r>
      <w:r w:rsidR="0077755F">
        <w:rPr>
          <w:b/>
        </w:rPr>
        <w:t>would we</w:t>
      </w:r>
      <w:r w:rsidRPr="00EB16BB">
        <w:rPr>
          <w:b/>
        </w:rPr>
        <w:t xml:space="preserve"> do this?</w:t>
      </w:r>
    </w:p>
    <w:p w:rsidR="00596642" w:rsidRDefault="00596642" w:rsidP="00596642">
      <w:pPr>
        <w:pStyle w:val="Bulletpoint"/>
      </w:pPr>
      <w:r>
        <w:t xml:space="preserve">We </w:t>
      </w:r>
      <w:r w:rsidR="0077755F">
        <w:t xml:space="preserve">would </w:t>
      </w:r>
      <w:r>
        <w:t xml:space="preserve">consider </w:t>
      </w:r>
      <w:r w:rsidRPr="00CB7784">
        <w:rPr>
          <w:lang w:val="en"/>
        </w:rPr>
        <w:t xml:space="preserve">Australian </w:t>
      </w:r>
      <w:r>
        <w:rPr>
          <w:lang w:val="en"/>
        </w:rPr>
        <w:t>data, conditions and circumstances which may</w:t>
      </w:r>
      <w:r w:rsidRPr="00CB7784">
        <w:rPr>
          <w:lang w:val="en"/>
        </w:rPr>
        <w:t xml:space="preserve"> provide a </w:t>
      </w:r>
      <w:r>
        <w:rPr>
          <w:lang w:val="en"/>
        </w:rPr>
        <w:t>basis</w:t>
      </w:r>
      <w:r w:rsidRPr="00CB7784">
        <w:rPr>
          <w:lang w:val="en"/>
        </w:rPr>
        <w:t xml:space="preserve"> </w:t>
      </w:r>
      <w:r>
        <w:rPr>
          <w:lang w:val="en"/>
        </w:rPr>
        <w:t xml:space="preserve">for varying the requirements </w:t>
      </w:r>
      <w:r w:rsidR="001C40AD">
        <w:rPr>
          <w:lang w:val="en"/>
        </w:rPr>
        <w:t>of, or not adopting, an</w:t>
      </w:r>
      <w:r>
        <w:rPr>
          <w:lang w:val="en"/>
        </w:rPr>
        <w:t xml:space="preserve"> international standard</w:t>
      </w:r>
      <w:r w:rsidR="001C40AD">
        <w:rPr>
          <w:lang w:val="en"/>
        </w:rPr>
        <w:t xml:space="preserve"> or risk assessment</w:t>
      </w:r>
      <w:r>
        <w:rPr>
          <w:lang w:val="en"/>
        </w:rPr>
        <w:t>.</w:t>
      </w:r>
    </w:p>
    <w:p w:rsidR="00596642" w:rsidRDefault="00596642" w:rsidP="00596642">
      <w:pPr>
        <w:pStyle w:val="Bulletpoint"/>
      </w:pPr>
      <w:r>
        <w:t xml:space="preserve">We </w:t>
      </w:r>
      <w:r w:rsidR="0077755F">
        <w:t xml:space="preserve">would </w:t>
      </w:r>
      <w:r>
        <w:t>strengthen and maintain relationships with relevant stakeholders including state and territory A</w:t>
      </w:r>
      <w:r w:rsidR="001C40AD">
        <w:t>ustralian Consumer Law</w:t>
      </w:r>
      <w:r>
        <w:t xml:space="preserve"> regulators. This assists our understanding of how the economy and market works and to ensure that the circumstances of all Australians are being considered.</w:t>
      </w:r>
    </w:p>
    <w:p w:rsidR="00EC34AB" w:rsidRDefault="00EC34AB" w:rsidP="00EC34AB">
      <w:pPr>
        <w:pStyle w:val="Bulletpoint"/>
      </w:pPr>
      <w:r>
        <w:t xml:space="preserve">We </w:t>
      </w:r>
      <w:r w:rsidR="0077755F">
        <w:t xml:space="preserve">would </w:t>
      </w:r>
      <w:r>
        <w:t>consider whether the adoption of an international standard or risk assessment would conflict with the delivery of transparently-stated Government policy objectives (for example, where adoption of international standards or risk assessments conflicts with state/territory laws).</w:t>
      </w:r>
    </w:p>
    <w:p w:rsidR="00596642" w:rsidRDefault="00596642">
      <w:pPr>
        <w:pStyle w:val="Bulletpoint"/>
      </w:pPr>
      <w:r>
        <w:t xml:space="preserve">Our international partners help provide an insight to the nature of international standards and risk assessments in an environment external to Australia. We routinely seek and use </w:t>
      </w:r>
      <w:r w:rsidR="001C40AD">
        <w:t xml:space="preserve">international standards and </w:t>
      </w:r>
      <w:r>
        <w:t>risk assessments conducted by these agencies whenever they are available and</w:t>
      </w:r>
      <w:r w:rsidR="001C40AD">
        <w:t xml:space="preserve"> use them</w:t>
      </w:r>
      <w:r>
        <w:t xml:space="preserve"> in assessing options to limit </w:t>
      </w:r>
      <w:r w:rsidRPr="000D610A">
        <w:t xml:space="preserve">consumer exposure to hazards </w:t>
      </w:r>
      <w:r>
        <w:t>from</w:t>
      </w:r>
      <w:r w:rsidRPr="000D610A">
        <w:t xml:space="preserve"> consumer goods. </w:t>
      </w:r>
    </w:p>
    <w:p w:rsidR="00596642" w:rsidRDefault="00596642" w:rsidP="00596642">
      <w:pPr>
        <w:pStyle w:val="Bulletpoint"/>
      </w:pPr>
      <w:r>
        <w:t>This allows us to focus on aspects of the problem that may present differently in Australia such as differences in climate, consumer behaviour, regulatory frameworks, medical infrastructure, or in the products marketed in different countries.</w:t>
      </w:r>
    </w:p>
    <w:p w:rsidR="009D0426" w:rsidRDefault="009D0426" w:rsidP="009D0426">
      <w:pPr>
        <w:pStyle w:val="Bulletpoint"/>
      </w:pPr>
      <w:r w:rsidRPr="009D0426">
        <w:t>W</w:t>
      </w:r>
      <w:r>
        <w:t xml:space="preserve">e </w:t>
      </w:r>
      <w:r w:rsidR="0077755F">
        <w:t xml:space="preserve">would </w:t>
      </w:r>
      <w:r>
        <w:t xml:space="preserve">consider the </w:t>
      </w:r>
      <w:r w:rsidRPr="009D0426">
        <w:t>regulatory costs and benefits of adopting Australian-specific requirements, including the potential costs from fragmentation between Commonwealth regulations and those of the Australian states and territories</w:t>
      </w:r>
      <w:r>
        <w:t>.</w:t>
      </w:r>
    </w:p>
    <w:p w:rsidR="00225226" w:rsidRDefault="00225226" w:rsidP="00596642">
      <w:pPr>
        <w:pStyle w:val="Bulletpoint"/>
      </w:pPr>
      <w:r>
        <w:t xml:space="preserve">We </w:t>
      </w:r>
      <w:r w:rsidR="0077755F">
        <w:t xml:space="preserve">would </w:t>
      </w:r>
      <w:r>
        <w:t>consider the scope for the ACCC to influence the future direction and requirements of an international standard.</w:t>
      </w:r>
    </w:p>
    <w:p w:rsidR="00596642" w:rsidRDefault="00596642" w:rsidP="00596642">
      <w:pPr>
        <w:pStyle w:val="Bulletpoint"/>
      </w:pPr>
      <w:r>
        <w:t xml:space="preserve">We </w:t>
      </w:r>
      <w:r w:rsidR="0077755F">
        <w:t xml:space="preserve">would </w:t>
      </w:r>
      <w:r>
        <w:t xml:space="preserve">consult with </w:t>
      </w:r>
      <w:r w:rsidR="0025611E">
        <w:t xml:space="preserve">relevant </w:t>
      </w:r>
      <w:r>
        <w:t>business</w:t>
      </w:r>
      <w:r w:rsidR="0025611E">
        <w:t>es</w:t>
      </w:r>
      <w:r>
        <w:t xml:space="preserve"> to understand their perspective on which international standards</w:t>
      </w:r>
      <w:r w:rsidR="001C40AD">
        <w:t xml:space="preserve"> </w:t>
      </w:r>
      <w:r>
        <w:t>may be suitable for use</w:t>
      </w:r>
      <w:r w:rsidR="001C40AD">
        <w:t xml:space="preserve"> or application</w:t>
      </w:r>
      <w:r>
        <w:t xml:space="preserve"> in Australia.</w:t>
      </w:r>
    </w:p>
    <w:p w:rsidR="00596642" w:rsidRDefault="00596642" w:rsidP="00596642">
      <w:pPr>
        <w:pStyle w:val="Bulletpoint2"/>
      </w:pPr>
      <w:r>
        <w:t>Is the international standard used or likely to be used by manufacturers</w:t>
      </w:r>
      <w:r w:rsidR="006D5297">
        <w:t>?</w:t>
      </w:r>
      <w:r>
        <w:t xml:space="preserve"> </w:t>
      </w:r>
    </w:p>
    <w:p w:rsidR="00596642" w:rsidRDefault="00596642" w:rsidP="00596642">
      <w:pPr>
        <w:pStyle w:val="Bulletpoint2"/>
      </w:pPr>
      <w:r>
        <w:t>Is there likely to be a demand for products that comply with the international standard</w:t>
      </w:r>
      <w:r w:rsidR="006D5297">
        <w:t>?</w:t>
      </w:r>
      <w:r>
        <w:t xml:space="preserve"> </w:t>
      </w:r>
    </w:p>
    <w:p w:rsidR="006E72AB" w:rsidRDefault="00EC34AB" w:rsidP="006E72AB">
      <w:pPr>
        <w:pStyle w:val="Bulletpoint"/>
      </w:pPr>
      <w:r>
        <w:t xml:space="preserve">We </w:t>
      </w:r>
      <w:r w:rsidR="0077755F">
        <w:t xml:space="preserve">would </w:t>
      </w:r>
      <w:r>
        <w:t xml:space="preserve">determine if </w:t>
      </w:r>
      <w:r w:rsidR="006E72AB">
        <w:t xml:space="preserve">the standard </w:t>
      </w:r>
      <w:r>
        <w:t xml:space="preserve">is </w:t>
      </w:r>
      <w:r w:rsidR="006E72AB">
        <w:t xml:space="preserve">reasonably available to Australian consumers and businesses and </w:t>
      </w:r>
      <w:r>
        <w:t xml:space="preserve">if </w:t>
      </w:r>
      <w:r w:rsidR="006E72AB">
        <w:t xml:space="preserve">it </w:t>
      </w:r>
      <w:r>
        <w:t xml:space="preserve">is </w:t>
      </w:r>
      <w:r w:rsidR="006E72AB">
        <w:t>available in reasonably understandable English</w:t>
      </w:r>
      <w:r>
        <w:t xml:space="preserve">. </w:t>
      </w:r>
    </w:p>
    <w:p w:rsidR="00596642" w:rsidRPr="00FA4C42" w:rsidRDefault="005C794B" w:rsidP="00596642">
      <w:r>
        <w:t xml:space="preserve"> </w:t>
      </w:r>
    </w:p>
    <w:p w:rsidR="00596642" w:rsidRDefault="00596642" w:rsidP="00D27E0B">
      <w:pPr>
        <w:pStyle w:val="Numbered1"/>
        <w:keepNext/>
        <w:ind w:left="357" w:hanging="357"/>
      </w:pPr>
      <w:bookmarkStart w:id="52" w:name="_Toc417561908"/>
      <w:bookmarkStart w:id="53" w:name="_Toc418768599"/>
      <w:bookmarkEnd w:id="52"/>
      <w:r>
        <w:t>Reviewing the Criteria</w:t>
      </w:r>
      <w:bookmarkEnd w:id="53"/>
    </w:p>
    <w:p w:rsidR="00596642" w:rsidRDefault="00596642" w:rsidP="00596642">
      <w:r>
        <w:t>We are committed to improving the effectiveness of our engagement with international standards</w:t>
      </w:r>
      <w:r w:rsidR="00AE50A6">
        <w:t xml:space="preserve"> and risk assessments</w:t>
      </w:r>
      <w:r>
        <w:t xml:space="preserve"> over time. A key element of this improvement will be evaluating our performance under these criteria, and if necessary, amending and adding to </w:t>
      </w:r>
      <w:r>
        <w:lastRenderedPageBreak/>
        <w:t>this document.</w:t>
      </w:r>
      <w:r w:rsidRPr="00485AF7">
        <w:t xml:space="preserve"> </w:t>
      </w:r>
      <w:r>
        <w:t xml:space="preserve">It will be important to determine whether the criteria are operating effectively and meeting our expectations and those of the government and our stakeholders. </w:t>
      </w:r>
    </w:p>
    <w:p w:rsidR="00596642" w:rsidRDefault="00596642" w:rsidP="00596642">
      <w:r>
        <w:t>We will monitor the ongoing effectiveness of the criteria. In particular, the evaluation phase at the end of each mandatory standard development or review will provide opportunities for the ACCC to consider how the criteria are working in practice, and suggest changes. Feedback from stakeholde</w:t>
      </w:r>
      <w:r w:rsidR="00AE50A6">
        <w:t>rs gained through these project</w:t>
      </w:r>
      <w:r>
        <w:t xml:space="preserve"> evaluation processes will inform the assessment. </w:t>
      </w:r>
    </w:p>
    <w:p w:rsidR="009D6B46" w:rsidRPr="009D6B46" w:rsidRDefault="00596642" w:rsidP="009D6B46">
      <w:r>
        <w:t>Additionally, in the longer term, it will be important to determine the relevance of the criteria going forward and whether they are operating effectively and meeting our needs and those of the Australian people. In this context, we will aim to review the criteria in two years.</w:t>
      </w:r>
    </w:p>
    <w:sectPr w:rsidR="009D6B46" w:rsidRPr="009D6B46" w:rsidSect="004D144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642" w:rsidRDefault="00596642" w:rsidP="004B4412">
      <w:r>
        <w:separator/>
      </w:r>
    </w:p>
  </w:endnote>
  <w:endnote w:type="continuationSeparator" w:id="0">
    <w:p w:rsidR="00596642" w:rsidRDefault="00596642" w:rsidP="004B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ECF" w:rsidRDefault="00C60E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A10" w:rsidRDefault="00123B0D" w:rsidP="00927062">
    <w:pPr>
      <w:pStyle w:val="Footer"/>
      <w:tabs>
        <w:tab w:val="left" w:pos="5610"/>
      </w:tabs>
      <w:jc w:val="right"/>
    </w:pPr>
    <w:r>
      <w:tab/>
    </w:r>
    <w:sdt>
      <w:sdtPr>
        <w:id w:val="18364206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4D9F">
          <w:rPr>
            <w:noProof/>
          </w:rPr>
          <w:t>2</w:t>
        </w:r>
        <w:r>
          <w:rPr>
            <w:noProof/>
          </w:rPr>
          <w:fldChar w:fldCharType="end"/>
        </w:r>
      </w:sdtContent>
    </w:sdt>
    <w:r>
      <w:rPr>
        <w:noProof/>
      </w:rPr>
      <w:tab/>
    </w:r>
  </w:p>
  <w:p w:rsidR="006D5A10" w:rsidRDefault="00D74D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6434"/>
      <w:docPartObj>
        <w:docPartGallery w:val="Page Numbers (Bottom of Page)"/>
        <w:docPartUnique/>
      </w:docPartObj>
    </w:sdtPr>
    <w:sdtEndPr>
      <w:rPr>
        <w:noProof/>
      </w:rPr>
    </w:sdtEndPr>
    <w:sdtContent>
      <w:p w:rsidR="006D5A10" w:rsidRDefault="00123B0D">
        <w:pPr>
          <w:pStyle w:val="Footer"/>
          <w:jc w:val="right"/>
        </w:pPr>
        <w:r>
          <w:fldChar w:fldCharType="begin"/>
        </w:r>
        <w:r>
          <w:instrText xml:space="preserve"> PAGE   \* MERGEFORMAT </w:instrText>
        </w:r>
        <w:r>
          <w:fldChar w:fldCharType="separate"/>
        </w:r>
        <w:r w:rsidR="00D74D9F">
          <w:rPr>
            <w:noProof/>
          </w:rPr>
          <w:t>1</w:t>
        </w:r>
        <w:r>
          <w:rPr>
            <w:noProof/>
          </w:rPr>
          <w:fldChar w:fldCharType="end"/>
        </w:r>
      </w:p>
    </w:sdtContent>
  </w:sdt>
  <w:p w:rsidR="006D5A10" w:rsidRDefault="00D74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642" w:rsidRDefault="00596642" w:rsidP="004B4412">
      <w:r>
        <w:separator/>
      </w:r>
    </w:p>
  </w:footnote>
  <w:footnote w:type="continuationSeparator" w:id="0">
    <w:p w:rsidR="00596642" w:rsidRDefault="00596642" w:rsidP="004B4412">
      <w:r>
        <w:continuationSeparator/>
      </w:r>
    </w:p>
  </w:footnote>
  <w:footnote w:id="1">
    <w:p w:rsidR="00596642" w:rsidRDefault="00596642" w:rsidP="00AC26AE">
      <w:pPr>
        <w:pStyle w:val="FootnoteText"/>
        <w:ind w:left="709" w:hanging="709"/>
      </w:pPr>
      <w:r>
        <w:rPr>
          <w:rStyle w:val="FootnoteReference"/>
        </w:rPr>
        <w:footnoteRef/>
      </w:r>
      <w:r>
        <w:t xml:space="preserve"> </w:t>
      </w:r>
      <w:r>
        <w:tab/>
        <w:t xml:space="preserve">Department of Prime Minister and Cabinet, </w:t>
      </w:r>
      <w:r w:rsidRPr="00F34E81">
        <w:rPr>
          <w:i/>
        </w:rPr>
        <w:t>Industry Innovation and Competitiveness Agenda: An Action Plan for a Stronger Australia</w:t>
      </w:r>
      <w:r>
        <w:t xml:space="preserve">, DPMC, 2014, p. 31 available: </w:t>
      </w:r>
      <w:hyperlink r:id="rId1" w:history="1">
        <w:r w:rsidRPr="0092625E">
          <w:rPr>
            <w:rStyle w:val="Hyperlink"/>
            <w:rFonts w:asciiTheme="minorHAnsi" w:hAnsiTheme="minorHAnsi"/>
            <w:sz w:val="16"/>
          </w:rPr>
          <w:t>https://www.dpmc.gov.au/sites/default/files/publications/industry_innovation_competitiveness_agenda.pdf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ECF" w:rsidRDefault="00C60E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ECF" w:rsidRDefault="00C60E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ECF" w:rsidRDefault="00C60E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E8D0B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56075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0CCD3A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F741816"/>
    <w:lvl w:ilvl="0">
      <w:start w:val="1"/>
      <w:numFmt w:val="lowerLetter"/>
      <w:pStyle w:val="ListNumber2"/>
      <w:lvlText w:val="%1)"/>
      <w:lvlJc w:val="left"/>
      <w:pPr>
        <w:ind w:left="360" w:hanging="360"/>
      </w:pPr>
    </w:lvl>
  </w:abstractNum>
  <w:abstractNum w:abstractNumId="4">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C004CC0"/>
    <w:lvl w:ilvl="0">
      <w:start w:val="1"/>
      <w:numFmt w:val="decimal"/>
      <w:pStyle w:val="ListNumber"/>
      <w:lvlText w:val="%1."/>
      <w:lvlJc w:val="left"/>
      <w:pPr>
        <w:tabs>
          <w:tab w:val="num" w:pos="360"/>
        </w:tabs>
        <w:ind w:left="360" w:hanging="360"/>
      </w:pPr>
    </w:lvl>
  </w:abstractNum>
  <w:abstractNum w:abstractNumId="9">
    <w:nsid w:val="07E80CB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8641ED1"/>
    <w:multiLevelType w:val="hybridMultilevel"/>
    <w:tmpl w:val="8520B998"/>
    <w:lvl w:ilvl="0" w:tplc="92E4D2C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0DD2542B"/>
    <w:multiLevelType w:val="hybridMultilevel"/>
    <w:tmpl w:val="60FAC388"/>
    <w:lvl w:ilvl="0" w:tplc="50264BE2">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0FC3577"/>
    <w:multiLevelType w:val="multilevel"/>
    <w:tmpl w:val="8AE4EE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3E73B6"/>
    <w:multiLevelType w:val="hybridMultilevel"/>
    <w:tmpl w:val="80220B84"/>
    <w:lvl w:ilvl="0" w:tplc="F5987420">
      <w:start w:val="1"/>
      <w:numFmt w:val="decimal"/>
      <w:pStyle w:val="Numberedlist"/>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4">
    <w:nsid w:val="143A16BA"/>
    <w:multiLevelType w:val="hybridMultilevel"/>
    <w:tmpl w:val="B4582D26"/>
    <w:lvl w:ilvl="0" w:tplc="7270CC9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9B737F8"/>
    <w:multiLevelType w:val="multilevel"/>
    <w:tmpl w:val="6FB04AB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4418" w:hanging="1440"/>
      </w:pPr>
      <w:rPr>
        <w:rFonts w:hint="default"/>
      </w:rPr>
    </w:lvl>
    <w:lvl w:ilvl="8">
      <w:start w:val="1"/>
      <w:numFmt w:val="decimal"/>
      <w:lvlText w:val="%1.%2.%3.%4.%5.%6.%7.%8.%9"/>
      <w:lvlJc w:val="left"/>
      <w:pPr>
        <w:ind w:left="1584" w:hanging="1584"/>
      </w:pPr>
      <w:rPr>
        <w:rFonts w:hint="default"/>
      </w:rPr>
    </w:lvl>
  </w:abstractNum>
  <w:abstractNum w:abstractNumId="16">
    <w:nsid w:val="19FB7330"/>
    <w:multiLevelType w:val="hybridMultilevel"/>
    <w:tmpl w:val="B5842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8">
    <w:nsid w:val="20DC4589"/>
    <w:multiLevelType w:val="hybridMultilevel"/>
    <w:tmpl w:val="CE309D86"/>
    <w:lvl w:ilvl="0" w:tplc="272AF908">
      <w:start w:val="1"/>
      <w:numFmt w:val="bullet"/>
      <w:lvlText w:val=""/>
      <w:lvlJc w:val="left"/>
      <w:pPr>
        <w:ind w:left="720" w:hanging="360"/>
      </w:pPr>
      <w:rPr>
        <w:rFonts w:ascii="Symbol" w:hAnsi="Symbol" w:hint="default"/>
      </w:rPr>
    </w:lvl>
    <w:lvl w:ilvl="1" w:tplc="57C8130E" w:tentative="1">
      <w:start w:val="1"/>
      <w:numFmt w:val="bullet"/>
      <w:lvlText w:val="o"/>
      <w:lvlJc w:val="left"/>
      <w:pPr>
        <w:ind w:left="1440" w:hanging="360"/>
      </w:pPr>
      <w:rPr>
        <w:rFonts w:ascii="Courier New" w:hAnsi="Courier New" w:cs="Courier New" w:hint="default"/>
      </w:rPr>
    </w:lvl>
    <w:lvl w:ilvl="2" w:tplc="5C8AAD36" w:tentative="1">
      <w:start w:val="1"/>
      <w:numFmt w:val="bullet"/>
      <w:lvlText w:val=""/>
      <w:lvlJc w:val="left"/>
      <w:pPr>
        <w:ind w:left="2160" w:hanging="360"/>
      </w:pPr>
      <w:rPr>
        <w:rFonts w:ascii="Wingdings" w:hAnsi="Wingdings" w:hint="default"/>
      </w:rPr>
    </w:lvl>
    <w:lvl w:ilvl="3" w:tplc="724C6AB0" w:tentative="1">
      <w:start w:val="1"/>
      <w:numFmt w:val="bullet"/>
      <w:lvlText w:val=""/>
      <w:lvlJc w:val="left"/>
      <w:pPr>
        <w:ind w:left="2880" w:hanging="360"/>
      </w:pPr>
      <w:rPr>
        <w:rFonts w:ascii="Symbol" w:hAnsi="Symbol" w:hint="default"/>
      </w:rPr>
    </w:lvl>
    <w:lvl w:ilvl="4" w:tplc="6FB25FB4" w:tentative="1">
      <w:start w:val="1"/>
      <w:numFmt w:val="bullet"/>
      <w:lvlText w:val="o"/>
      <w:lvlJc w:val="left"/>
      <w:pPr>
        <w:ind w:left="3600" w:hanging="360"/>
      </w:pPr>
      <w:rPr>
        <w:rFonts w:ascii="Courier New" w:hAnsi="Courier New" w:cs="Courier New" w:hint="default"/>
      </w:rPr>
    </w:lvl>
    <w:lvl w:ilvl="5" w:tplc="F5C2DFB0" w:tentative="1">
      <w:start w:val="1"/>
      <w:numFmt w:val="bullet"/>
      <w:lvlText w:val=""/>
      <w:lvlJc w:val="left"/>
      <w:pPr>
        <w:ind w:left="4320" w:hanging="360"/>
      </w:pPr>
      <w:rPr>
        <w:rFonts w:ascii="Wingdings" w:hAnsi="Wingdings" w:hint="default"/>
      </w:rPr>
    </w:lvl>
    <w:lvl w:ilvl="6" w:tplc="E8EC3EF6" w:tentative="1">
      <w:start w:val="1"/>
      <w:numFmt w:val="bullet"/>
      <w:lvlText w:val=""/>
      <w:lvlJc w:val="left"/>
      <w:pPr>
        <w:ind w:left="5040" w:hanging="360"/>
      </w:pPr>
      <w:rPr>
        <w:rFonts w:ascii="Symbol" w:hAnsi="Symbol" w:hint="default"/>
      </w:rPr>
    </w:lvl>
    <w:lvl w:ilvl="7" w:tplc="B2DE8D52" w:tentative="1">
      <w:start w:val="1"/>
      <w:numFmt w:val="bullet"/>
      <w:lvlText w:val="o"/>
      <w:lvlJc w:val="left"/>
      <w:pPr>
        <w:ind w:left="5760" w:hanging="360"/>
      </w:pPr>
      <w:rPr>
        <w:rFonts w:ascii="Courier New" w:hAnsi="Courier New" w:cs="Courier New" w:hint="default"/>
      </w:rPr>
    </w:lvl>
    <w:lvl w:ilvl="8" w:tplc="1C986682" w:tentative="1">
      <w:start w:val="1"/>
      <w:numFmt w:val="bullet"/>
      <w:lvlText w:val=""/>
      <w:lvlJc w:val="left"/>
      <w:pPr>
        <w:ind w:left="6480" w:hanging="360"/>
      </w:pPr>
      <w:rPr>
        <w:rFonts w:ascii="Wingdings" w:hAnsi="Wingdings" w:hint="default"/>
      </w:rPr>
    </w:lvl>
  </w:abstractNum>
  <w:abstractNum w:abstractNumId="19">
    <w:nsid w:val="238563B5"/>
    <w:multiLevelType w:val="multilevel"/>
    <w:tmpl w:val="7DF81E34"/>
    <w:lvl w:ilvl="0">
      <w:start w:val="1"/>
      <w:numFmt w:val="lowerLetter"/>
      <w:lvlText w:val="%1."/>
      <w:lvlJc w:val="left"/>
      <w:pPr>
        <w:ind w:left="360" w:hanging="360"/>
      </w:pPr>
      <w:rPr>
        <w:rFonts w:hint="default"/>
      </w:rPr>
    </w:lvl>
    <w:lvl w:ilvl="1">
      <w:start w:val="1"/>
      <w:numFmt w:val="lowerLetter"/>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A1771C6"/>
    <w:multiLevelType w:val="hybridMultilevel"/>
    <w:tmpl w:val="0458E1F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1">
    <w:nsid w:val="324E259F"/>
    <w:multiLevelType w:val="hybridMultilevel"/>
    <w:tmpl w:val="DF0C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8460304"/>
    <w:multiLevelType w:val="hybridMultilevel"/>
    <w:tmpl w:val="33769F5E"/>
    <w:lvl w:ilvl="0" w:tplc="15D2638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D18074A"/>
    <w:multiLevelType w:val="hybridMultilevel"/>
    <w:tmpl w:val="C8E20904"/>
    <w:lvl w:ilvl="0" w:tplc="0C090001">
      <w:start w:val="1"/>
      <w:numFmt w:val="decimal"/>
      <w:lvlText w:val="%1."/>
      <w:lvlJc w:val="left"/>
      <w:pPr>
        <w:ind w:left="360" w:hanging="360"/>
      </w:p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5">
    <w:nsid w:val="429046A0"/>
    <w:multiLevelType w:val="multilevel"/>
    <w:tmpl w:val="9A30B4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4065F76"/>
    <w:multiLevelType w:val="hybridMultilevel"/>
    <w:tmpl w:val="68D2BB3C"/>
    <w:lvl w:ilvl="0" w:tplc="A5BC9C30">
      <w:start w:val="1"/>
      <w:numFmt w:val="lowerLetter"/>
      <w:lvlText w:val="%1)"/>
      <w:lvlJc w:val="left"/>
      <w:pPr>
        <w:ind w:left="1003" w:hanging="360"/>
      </w:pPr>
    </w:lvl>
    <w:lvl w:ilvl="1" w:tplc="394A4642" w:tentative="1">
      <w:start w:val="1"/>
      <w:numFmt w:val="lowerLetter"/>
      <w:lvlText w:val="%2."/>
      <w:lvlJc w:val="left"/>
      <w:pPr>
        <w:ind w:left="1723" w:hanging="360"/>
      </w:pPr>
    </w:lvl>
    <w:lvl w:ilvl="2" w:tplc="DA3E1F4A" w:tentative="1">
      <w:start w:val="1"/>
      <w:numFmt w:val="lowerRoman"/>
      <w:lvlText w:val="%3."/>
      <w:lvlJc w:val="right"/>
      <w:pPr>
        <w:ind w:left="2443" w:hanging="180"/>
      </w:pPr>
    </w:lvl>
    <w:lvl w:ilvl="3" w:tplc="999EE412" w:tentative="1">
      <w:start w:val="1"/>
      <w:numFmt w:val="decimal"/>
      <w:lvlText w:val="%4."/>
      <w:lvlJc w:val="left"/>
      <w:pPr>
        <w:ind w:left="3163" w:hanging="360"/>
      </w:pPr>
    </w:lvl>
    <w:lvl w:ilvl="4" w:tplc="0C7C376E" w:tentative="1">
      <w:start w:val="1"/>
      <w:numFmt w:val="lowerLetter"/>
      <w:lvlText w:val="%5."/>
      <w:lvlJc w:val="left"/>
      <w:pPr>
        <w:ind w:left="3883" w:hanging="360"/>
      </w:pPr>
    </w:lvl>
    <w:lvl w:ilvl="5" w:tplc="C5F85718" w:tentative="1">
      <w:start w:val="1"/>
      <w:numFmt w:val="lowerRoman"/>
      <w:lvlText w:val="%6."/>
      <w:lvlJc w:val="right"/>
      <w:pPr>
        <w:ind w:left="4603" w:hanging="180"/>
      </w:pPr>
    </w:lvl>
    <w:lvl w:ilvl="6" w:tplc="A13E5A62" w:tentative="1">
      <w:start w:val="1"/>
      <w:numFmt w:val="decimal"/>
      <w:lvlText w:val="%7."/>
      <w:lvlJc w:val="left"/>
      <w:pPr>
        <w:ind w:left="5323" w:hanging="360"/>
      </w:pPr>
    </w:lvl>
    <w:lvl w:ilvl="7" w:tplc="DFD8E418" w:tentative="1">
      <w:start w:val="1"/>
      <w:numFmt w:val="lowerLetter"/>
      <w:lvlText w:val="%8."/>
      <w:lvlJc w:val="left"/>
      <w:pPr>
        <w:ind w:left="6043" w:hanging="360"/>
      </w:pPr>
    </w:lvl>
    <w:lvl w:ilvl="8" w:tplc="1030601A" w:tentative="1">
      <w:start w:val="1"/>
      <w:numFmt w:val="lowerRoman"/>
      <w:lvlText w:val="%9."/>
      <w:lvlJc w:val="right"/>
      <w:pPr>
        <w:ind w:left="6763" w:hanging="180"/>
      </w:pPr>
    </w:lvl>
  </w:abstractNum>
  <w:abstractNum w:abstractNumId="27">
    <w:nsid w:val="461B4F41"/>
    <w:multiLevelType w:val="hybridMultilevel"/>
    <w:tmpl w:val="7B5014C4"/>
    <w:lvl w:ilvl="0" w:tplc="50264B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A0A18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DFC74D7"/>
    <w:multiLevelType w:val="multilevel"/>
    <w:tmpl w:val="D22EEB40"/>
    <w:lvl w:ilvl="0">
      <w:start w:val="1"/>
      <w:numFmt w:val="decimal"/>
      <w:lvlText w:val="%1."/>
      <w:lvlJc w:val="left"/>
      <w:pPr>
        <w:ind w:left="720" w:hanging="360"/>
      </w:pPr>
      <w:rPr>
        <w:rFonts w:hint="default"/>
      </w:rPr>
    </w:lvl>
    <w:lvl w:ilvl="1">
      <w:start w:val="1"/>
      <w:numFmt w:val="decimal"/>
      <w:lvlText w:val="%1.%2."/>
      <w:lvlJc w:val="left"/>
      <w:pPr>
        <w:ind w:left="964" w:hanging="96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7384C50"/>
    <w:multiLevelType w:val="hybridMultilevel"/>
    <w:tmpl w:val="45CCF906"/>
    <w:lvl w:ilvl="0" w:tplc="8FF078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87C44DB"/>
    <w:multiLevelType w:val="hybridMultilevel"/>
    <w:tmpl w:val="A0E28A08"/>
    <w:lvl w:ilvl="0" w:tplc="CA9431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5C457CB"/>
    <w:multiLevelType w:val="hybridMultilevel"/>
    <w:tmpl w:val="8FC60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4">
    <w:nsid w:val="68D4610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E67C84"/>
    <w:multiLevelType w:val="multilevel"/>
    <w:tmpl w:val="62AA7C66"/>
    <w:lvl w:ilvl="0">
      <w:start w:val="1"/>
      <w:numFmt w:val="bullet"/>
      <w:lvlText w:val="o"/>
      <w:lvlJc w:val="left"/>
      <w:pPr>
        <w:ind w:left="1080" w:hanging="360"/>
      </w:pPr>
      <w:rPr>
        <w:rFonts w:ascii="Courier New" w:hAnsi="Courier New" w:cs="Courier New"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6">
    <w:nsid w:val="73EB6145"/>
    <w:multiLevelType w:val="hybridMultilevel"/>
    <w:tmpl w:val="DCB00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15"/>
  </w:num>
  <w:num w:numId="3">
    <w:abstractNumId w:val="13"/>
  </w:num>
  <w:num w:numId="4">
    <w:abstractNumId w:val="34"/>
  </w:num>
  <w:num w:numId="5">
    <w:abstractNumId w:val="12"/>
  </w:num>
  <w:num w:numId="6">
    <w:abstractNumId w:val="25"/>
  </w:num>
  <w:num w:numId="7">
    <w:abstractNumId w:val="37"/>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3"/>
  </w:num>
  <w:num w:numId="18">
    <w:abstractNumId w:val="26"/>
  </w:num>
  <w:num w:numId="19">
    <w:abstractNumId w:val="15"/>
    <w:lvlOverride w:ilvl="0">
      <w:startOverride w:val="1"/>
    </w:lvlOverride>
  </w:num>
  <w:num w:numId="20">
    <w:abstractNumId w:val="21"/>
  </w:num>
  <w:num w:numId="21">
    <w:abstractNumId w:val="24"/>
  </w:num>
  <w:num w:numId="22">
    <w:abstractNumId w:val="18"/>
  </w:num>
  <w:num w:numId="23">
    <w:abstractNumId w:val="32"/>
  </w:num>
  <w:num w:numId="24">
    <w:abstractNumId w:val="36"/>
  </w:num>
  <w:num w:numId="25">
    <w:abstractNumId w:val="31"/>
  </w:num>
  <w:num w:numId="26">
    <w:abstractNumId w:val="14"/>
  </w:num>
  <w:num w:numId="27">
    <w:abstractNumId w:val="10"/>
  </w:num>
  <w:num w:numId="28">
    <w:abstractNumId w:val="23"/>
  </w:num>
  <w:num w:numId="29">
    <w:abstractNumId w:val="11"/>
  </w:num>
  <w:num w:numId="30">
    <w:abstractNumId w:val="27"/>
  </w:num>
  <w:num w:numId="31">
    <w:abstractNumId w:val="9"/>
  </w:num>
  <w:num w:numId="32">
    <w:abstractNumId w:val="17"/>
  </w:num>
  <w:num w:numId="33">
    <w:abstractNumId w:val="29"/>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9"/>
  </w:num>
  <w:num w:numId="37">
    <w:abstractNumId w:val="20"/>
  </w:num>
  <w:num w:numId="38">
    <w:abstractNumId w:val="16"/>
  </w:num>
  <w:num w:numId="39">
    <w:abstractNumId w:val="22"/>
  </w:num>
  <w:num w:numId="40">
    <w:abstractNumId w:val="3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cdchnas-evs02\home$\kbure\Desktop\ACCC criteria for accepting international standards and risk assessments for product safety.docx"/>
  </w:docVars>
  <w:rsids>
    <w:rsidRoot w:val="00596642"/>
    <w:rsid w:val="00021202"/>
    <w:rsid w:val="0003578C"/>
    <w:rsid w:val="000446AC"/>
    <w:rsid w:val="00057B4E"/>
    <w:rsid w:val="00063247"/>
    <w:rsid w:val="00070F9F"/>
    <w:rsid w:val="0007137B"/>
    <w:rsid w:val="00085663"/>
    <w:rsid w:val="00085EBF"/>
    <w:rsid w:val="000B625D"/>
    <w:rsid w:val="000D122C"/>
    <w:rsid w:val="000E1819"/>
    <w:rsid w:val="000E6C72"/>
    <w:rsid w:val="000F53CE"/>
    <w:rsid w:val="00116EB2"/>
    <w:rsid w:val="00123B0D"/>
    <w:rsid w:val="00124609"/>
    <w:rsid w:val="001573E4"/>
    <w:rsid w:val="00160756"/>
    <w:rsid w:val="0017232E"/>
    <w:rsid w:val="00174102"/>
    <w:rsid w:val="00180157"/>
    <w:rsid w:val="00186F77"/>
    <w:rsid w:val="001921E3"/>
    <w:rsid w:val="001926A4"/>
    <w:rsid w:val="001B45A0"/>
    <w:rsid w:val="001B5BFC"/>
    <w:rsid w:val="001C40AD"/>
    <w:rsid w:val="001D055E"/>
    <w:rsid w:val="001E7887"/>
    <w:rsid w:val="001F492E"/>
    <w:rsid w:val="001F6DA3"/>
    <w:rsid w:val="00224DB9"/>
    <w:rsid w:val="00225226"/>
    <w:rsid w:val="00235C45"/>
    <w:rsid w:val="00251745"/>
    <w:rsid w:val="00251ED7"/>
    <w:rsid w:val="0025611E"/>
    <w:rsid w:val="00263AC0"/>
    <w:rsid w:val="0026772D"/>
    <w:rsid w:val="00286874"/>
    <w:rsid w:val="00296B65"/>
    <w:rsid w:val="002A7DEF"/>
    <w:rsid w:val="002C29F7"/>
    <w:rsid w:val="002F7986"/>
    <w:rsid w:val="0030063D"/>
    <w:rsid w:val="003022DB"/>
    <w:rsid w:val="00307F6D"/>
    <w:rsid w:val="003177A2"/>
    <w:rsid w:val="003271B5"/>
    <w:rsid w:val="00331264"/>
    <w:rsid w:val="00334C8D"/>
    <w:rsid w:val="00336FEF"/>
    <w:rsid w:val="003518B3"/>
    <w:rsid w:val="003846F1"/>
    <w:rsid w:val="003A7E24"/>
    <w:rsid w:val="00421DC5"/>
    <w:rsid w:val="00480B4B"/>
    <w:rsid w:val="00485DC4"/>
    <w:rsid w:val="004B4412"/>
    <w:rsid w:val="004C348C"/>
    <w:rsid w:val="004D55BA"/>
    <w:rsid w:val="004F0A1B"/>
    <w:rsid w:val="0050697E"/>
    <w:rsid w:val="00514B73"/>
    <w:rsid w:val="00530128"/>
    <w:rsid w:val="00530133"/>
    <w:rsid w:val="00532467"/>
    <w:rsid w:val="00536616"/>
    <w:rsid w:val="0056412F"/>
    <w:rsid w:val="00564A4D"/>
    <w:rsid w:val="00571B35"/>
    <w:rsid w:val="00571E57"/>
    <w:rsid w:val="00577A09"/>
    <w:rsid w:val="00584D8F"/>
    <w:rsid w:val="00596642"/>
    <w:rsid w:val="005A404D"/>
    <w:rsid w:val="005B1E3C"/>
    <w:rsid w:val="005C26CC"/>
    <w:rsid w:val="005C794B"/>
    <w:rsid w:val="005F57D4"/>
    <w:rsid w:val="00615C6B"/>
    <w:rsid w:val="00632D6D"/>
    <w:rsid w:val="00642560"/>
    <w:rsid w:val="00642C3E"/>
    <w:rsid w:val="00663DAD"/>
    <w:rsid w:val="00676679"/>
    <w:rsid w:val="00681006"/>
    <w:rsid w:val="00687DE0"/>
    <w:rsid w:val="006B4CF9"/>
    <w:rsid w:val="006B7AC8"/>
    <w:rsid w:val="006D02BC"/>
    <w:rsid w:val="006D5297"/>
    <w:rsid w:val="006D550F"/>
    <w:rsid w:val="006E0F92"/>
    <w:rsid w:val="006E72AB"/>
    <w:rsid w:val="00701CAB"/>
    <w:rsid w:val="00707563"/>
    <w:rsid w:val="00721D4F"/>
    <w:rsid w:val="0072348C"/>
    <w:rsid w:val="00724A37"/>
    <w:rsid w:val="00726863"/>
    <w:rsid w:val="007303C3"/>
    <w:rsid w:val="00743223"/>
    <w:rsid w:val="00746E01"/>
    <w:rsid w:val="00763E5D"/>
    <w:rsid w:val="00767740"/>
    <w:rsid w:val="0077755F"/>
    <w:rsid w:val="00777EE6"/>
    <w:rsid w:val="00782EEA"/>
    <w:rsid w:val="007A1ADE"/>
    <w:rsid w:val="007B2C72"/>
    <w:rsid w:val="007C1C53"/>
    <w:rsid w:val="007D3EBD"/>
    <w:rsid w:val="007E4904"/>
    <w:rsid w:val="007E4CB5"/>
    <w:rsid w:val="007F066B"/>
    <w:rsid w:val="008033C4"/>
    <w:rsid w:val="00806C88"/>
    <w:rsid w:val="0081034E"/>
    <w:rsid w:val="0083078E"/>
    <w:rsid w:val="008344F6"/>
    <w:rsid w:val="0083510F"/>
    <w:rsid w:val="008479C5"/>
    <w:rsid w:val="00851209"/>
    <w:rsid w:val="00881148"/>
    <w:rsid w:val="008837AC"/>
    <w:rsid w:val="008A587D"/>
    <w:rsid w:val="008C5486"/>
    <w:rsid w:val="008E7031"/>
    <w:rsid w:val="009233EE"/>
    <w:rsid w:val="00937309"/>
    <w:rsid w:val="00944A8D"/>
    <w:rsid w:val="009565D9"/>
    <w:rsid w:val="009661DE"/>
    <w:rsid w:val="009752D5"/>
    <w:rsid w:val="00984D3E"/>
    <w:rsid w:val="009856B7"/>
    <w:rsid w:val="009B74B0"/>
    <w:rsid w:val="009B7BC3"/>
    <w:rsid w:val="009D0426"/>
    <w:rsid w:val="009D6B46"/>
    <w:rsid w:val="009F4940"/>
    <w:rsid w:val="00A037A5"/>
    <w:rsid w:val="00A13019"/>
    <w:rsid w:val="00A4478A"/>
    <w:rsid w:val="00A44852"/>
    <w:rsid w:val="00A57D04"/>
    <w:rsid w:val="00A60A26"/>
    <w:rsid w:val="00A61598"/>
    <w:rsid w:val="00A84F46"/>
    <w:rsid w:val="00A871F4"/>
    <w:rsid w:val="00A93734"/>
    <w:rsid w:val="00AA2D2F"/>
    <w:rsid w:val="00AC1B2C"/>
    <w:rsid w:val="00AC26AE"/>
    <w:rsid w:val="00AC3264"/>
    <w:rsid w:val="00AD0174"/>
    <w:rsid w:val="00AE1BF1"/>
    <w:rsid w:val="00AE50A6"/>
    <w:rsid w:val="00AF0DD2"/>
    <w:rsid w:val="00B13048"/>
    <w:rsid w:val="00B1716D"/>
    <w:rsid w:val="00B17A1D"/>
    <w:rsid w:val="00B207A0"/>
    <w:rsid w:val="00B56E03"/>
    <w:rsid w:val="00B714F4"/>
    <w:rsid w:val="00B8080B"/>
    <w:rsid w:val="00B8456F"/>
    <w:rsid w:val="00B87C39"/>
    <w:rsid w:val="00B93D0A"/>
    <w:rsid w:val="00BA4646"/>
    <w:rsid w:val="00BA4665"/>
    <w:rsid w:val="00BB2FB2"/>
    <w:rsid w:val="00BB3304"/>
    <w:rsid w:val="00BD3446"/>
    <w:rsid w:val="00BE1F1B"/>
    <w:rsid w:val="00BE47B5"/>
    <w:rsid w:val="00C01DE8"/>
    <w:rsid w:val="00C06E74"/>
    <w:rsid w:val="00C15851"/>
    <w:rsid w:val="00C24B0C"/>
    <w:rsid w:val="00C32F0D"/>
    <w:rsid w:val="00C538A9"/>
    <w:rsid w:val="00C53B5A"/>
    <w:rsid w:val="00C54F5A"/>
    <w:rsid w:val="00C60ECF"/>
    <w:rsid w:val="00C779A2"/>
    <w:rsid w:val="00C86679"/>
    <w:rsid w:val="00CB666B"/>
    <w:rsid w:val="00CD4718"/>
    <w:rsid w:val="00CF0725"/>
    <w:rsid w:val="00CF1D8F"/>
    <w:rsid w:val="00D01CF0"/>
    <w:rsid w:val="00D0442A"/>
    <w:rsid w:val="00D2106D"/>
    <w:rsid w:val="00D27E0B"/>
    <w:rsid w:val="00D35B77"/>
    <w:rsid w:val="00D373D2"/>
    <w:rsid w:val="00D429A5"/>
    <w:rsid w:val="00D61388"/>
    <w:rsid w:val="00D61A54"/>
    <w:rsid w:val="00D64DEA"/>
    <w:rsid w:val="00D74D9F"/>
    <w:rsid w:val="00D80893"/>
    <w:rsid w:val="00D92CF1"/>
    <w:rsid w:val="00D92D38"/>
    <w:rsid w:val="00D950F5"/>
    <w:rsid w:val="00DA5C79"/>
    <w:rsid w:val="00DB0F93"/>
    <w:rsid w:val="00DC7981"/>
    <w:rsid w:val="00DE4EFA"/>
    <w:rsid w:val="00DE5520"/>
    <w:rsid w:val="00E04818"/>
    <w:rsid w:val="00E06442"/>
    <w:rsid w:val="00E23993"/>
    <w:rsid w:val="00E25B8C"/>
    <w:rsid w:val="00E65C85"/>
    <w:rsid w:val="00E66199"/>
    <w:rsid w:val="00E755EC"/>
    <w:rsid w:val="00E7624D"/>
    <w:rsid w:val="00E949F3"/>
    <w:rsid w:val="00EA3D42"/>
    <w:rsid w:val="00EA6B1B"/>
    <w:rsid w:val="00EC34AB"/>
    <w:rsid w:val="00ED6080"/>
    <w:rsid w:val="00EE28F3"/>
    <w:rsid w:val="00EE7745"/>
    <w:rsid w:val="00EF5110"/>
    <w:rsid w:val="00F019ED"/>
    <w:rsid w:val="00F15882"/>
    <w:rsid w:val="00F20BD3"/>
    <w:rsid w:val="00F373A5"/>
    <w:rsid w:val="00F47559"/>
    <w:rsid w:val="00F47F4C"/>
    <w:rsid w:val="00F61B9D"/>
    <w:rsid w:val="00F64C7B"/>
    <w:rsid w:val="00F676DD"/>
    <w:rsid w:val="00F75A26"/>
    <w:rsid w:val="00F839E9"/>
    <w:rsid w:val="00F83FAD"/>
    <w:rsid w:val="00F952A0"/>
    <w:rsid w:val="00FA3C7F"/>
    <w:rsid w:val="00FB74E2"/>
    <w:rsid w:val="00FD5614"/>
    <w:rsid w:val="00FE0BE1"/>
    <w:rsid w:val="00FE1DE9"/>
    <w:rsid w:val="00FE39C2"/>
    <w:rsid w:val="00FE64AE"/>
    <w:rsid w:val="00FF02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footnote text" w:uiPriority="2"/>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596642"/>
    <w:pPr>
      <w:spacing w:before="0" w:after="200" w:line="276" w:lineRule="auto"/>
    </w:pPr>
    <w:rPr>
      <w:rFonts w:eastAsiaTheme="minorEastAsia"/>
    </w:rPr>
  </w:style>
  <w:style w:type="paragraph" w:styleId="Heading1">
    <w:name w:val="heading 1"/>
    <w:basedOn w:val="Normal"/>
    <w:next w:val="Normal"/>
    <w:link w:val="Heading1Char"/>
    <w:uiPriority w:val="9"/>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basedOn w:val="Normal"/>
    <w:next w:val="Normal"/>
    <w:link w:val="Heading9Char"/>
    <w:uiPriority w:val="2"/>
    <w:qFormat/>
    <w:rsid w:val="009D6B46"/>
    <w:pPr>
      <w:spacing w:before="240"/>
      <w:outlineLvl w:val="8"/>
    </w:pPr>
    <w:rPr>
      <w:rFonts w:eastAsiaTheme="majorEastAsia" w:cstheme="majorBidi"/>
      <w:i/>
      <w:iCs/>
      <w:color w:val="51626F"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Reporttitle">
    <w:name w:val="Report title"/>
    <w:basedOn w:val="Normal"/>
    <w:link w:val="ReporttitleChar"/>
    <w:qFormat/>
    <w:rsid w:val="005C26CC"/>
    <w:pPr>
      <w:spacing w:before="520" w:after="120"/>
    </w:pPr>
    <w:rPr>
      <w:rFonts w:ascii="Lucida Fax" w:hAnsi="Lucida Fax"/>
      <w:color w:val="4F2D7F"/>
      <w:sz w:val="72"/>
      <w:szCs w:val="56"/>
    </w:rPr>
  </w:style>
  <w:style w:type="character" w:customStyle="1" w:styleId="ReporttitleChar">
    <w:name w:val="Report title Char"/>
    <w:basedOn w:val="DefaultParagraphFont"/>
    <w:link w:val="Reporttitle"/>
    <w:rsid w:val="005C26CC"/>
    <w:rPr>
      <w:rFonts w:ascii="Lucida Fax" w:hAnsi="Lucida Fax"/>
      <w:color w:val="4F2D7F"/>
      <w:sz w:val="72"/>
      <w:szCs w:val="56"/>
    </w:rPr>
  </w:style>
  <w:style w:type="paragraph" w:customStyle="1" w:styleId="Chaptertitle">
    <w:name w:val="Chapter title"/>
    <w:basedOn w:val="Reporttitle"/>
    <w:link w:val="ChaptertitleChar"/>
    <w:qFormat/>
    <w:rsid w:val="00B87C39"/>
    <w:rPr>
      <w:sz w:val="52"/>
      <w:szCs w:val="52"/>
    </w:rPr>
  </w:style>
  <w:style w:type="character" w:customStyle="1" w:styleId="ChaptertitleChar">
    <w:name w:val="Chapter title Char"/>
    <w:basedOn w:val="ReporttitleChar"/>
    <w:link w:val="Chaptertitle"/>
    <w:rsid w:val="00B87C39"/>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085663"/>
    <w:pPr>
      <w:numPr>
        <w:numId w:val="32"/>
      </w:numPr>
      <w:ind w:left="680" w:hanging="680"/>
    </w:pPr>
  </w:style>
  <w:style w:type="paragraph" w:customStyle="1" w:styleId="Numbered11">
    <w:name w:val="Numbered 1.1"/>
    <w:basedOn w:val="Heading2"/>
    <w:next w:val="Normal"/>
    <w:qFormat/>
    <w:rsid w:val="00B17A1D"/>
    <w:pPr>
      <w:numPr>
        <w:ilvl w:val="1"/>
        <w:numId w:val="32"/>
      </w:numPr>
      <w:ind w:left="1021" w:hanging="1021"/>
    </w:pPr>
    <w:rPr>
      <w:rFonts w:cs="Arial"/>
      <w:b w:val="0"/>
    </w:rPr>
  </w:style>
  <w:style w:type="paragraph" w:customStyle="1" w:styleId="Numbered111">
    <w:name w:val="Numbered 1.1.1"/>
    <w:basedOn w:val="Heading3"/>
    <w:next w:val="Normal"/>
    <w:qFormat/>
    <w:rsid w:val="00B17A1D"/>
    <w:pPr>
      <w:numPr>
        <w:ilvl w:val="2"/>
        <w:numId w:val="32"/>
      </w:numPr>
      <w:ind w:left="1247" w:hanging="1247"/>
      <w:contextualSpacing/>
    </w:pPr>
  </w:style>
  <w:style w:type="paragraph" w:customStyle="1" w:styleId="Numbered1111">
    <w:name w:val="Numbered 1.1.1.1"/>
    <w:basedOn w:val="Heading4"/>
    <w:next w:val="Normal"/>
    <w:rsid w:val="00B17A1D"/>
    <w:pPr>
      <w:numPr>
        <w:ilvl w:val="3"/>
        <w:numId w:val="32"/>
      </w:numPr>
      <w:ind w:left="1474" w:hanging="1474"/>
    </w:pPr>
  </w:style>
  <w:style w:type="paragraph" w:customStyle="1" w:styleId="Numbered11111">
    <w:name w:val="Numbered 1.1.1.1.1"/>
    <w:basedOn w:val="Heading5"/>
    <w:next w:val="Normal"/>
    <w:uiPriority w:val="2"/>
    <w:rsid w:val="00B17A1D"/>
    <w:pPr>
      <w:numPr>
        <w:ilvl w:val="4"/>
        <w:numId w:val="32"/>
      </w:numPr>
      <w:ind w:left="1701" w:hanging="1701"/>
    </w:pPr>
  </w:style>
  <w:style w:type="paragraph" w:customStyle="1" w:styleId="Numbered111111">
    <w:name w:val="Numbered 1.1.1.1.1.1"/>
    <w:basedOn w:val="Heading6"/>
    <w:next w:val="Normal"/>
    <w:uiPriority w:val="2"/>
    <w:rsid w:val="00B17A1D"/>
    <w:pPr>
      <w:numPr>
        <w:ilvl w:val="5"/>
        <w:numId w:val="32"/>
      </w:numPr>
      <w:ind w:left="2155" w:hanging="2155"/>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qFormat/>
    <w:rsid w:val="005C26CC"/>
    <w:rPr>
      <w:sz w:val="24"/>
    </w:rPr>
  </w:style>
  <w:style w:type="paragraph" w:styleId="EndnoteText">
    <w:name w:val="endnote text"/>
    <w:basedOn w:val="Normal"/>
    <w:link w:val="EndnoteTextChar"/>
    <w:uiPriority w:val="99"/>
    <w:rsid w:val="00263AC0"/>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qFormat/>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FE64AE"/>
    <w:pPr>
      <w:numPr>
        <w:numId w:val="7"/>
      </w:numPr>
    </w:pPr>
    <w:rPr>
      <w:rFonts w:cs="Times New Roman"/>
    </w:rPr>
  </w:style>
  <w:style w:type="paragraph" w:styleId="ListBullet">
    <w:name w:val="List Bullet"/>
    <w:basedOn w:val="Normal"/>
    <w:uiPriority w:val="99"/>
    <w:unhideWhenUsed/>
    <w:rsid w:val="008033C4"/>
    <w:pPr>
      <w:numPr>
        <w:numId w:val="28"/>
      </w:numPr>
      <w:spacing w:before="120"/>
      <w:ind w:left="357" w:hanging="357"/>
    </w:pPr>
  </w:style>
  <w:style w:type="paragraph" w:customStyle="1" w:styleId="Bulletpoint2">
    <w:name w:val="Bullet point 2"/>
    <w:basedOn w:val="ListBullet2"/>
    <w:uiPriority w:val="1"/>
    <w:qFormat/>
    <w:rsid w:val="008033C4"/>
    <w:pPr>
      <w:numPr>
        <w:numId w:val="17"/>
      </w:numPr>
      <w:ind w:left="998" w:hanging="357"/>
    </w:pPr>
  </w:style>
  <w:style w:type="paragraph" w:styleId="ListNumber">
    <w:name w:val="List Number"/>
    <w:basedOn w:val="Normal"/>
    <w:uiPriority w:val="99"/>
    <w:rsid w:val="008033C4"/>
    <w:pPr>
      <w:numPr>
        <w:numId w:val="12"/>
      </w:numPr>
      <w:spacing w:before="120"/>
      <w:ind w:left="357" w:hanging="357"/>
    </w:pPr>
    <w:rPr>
      <w:color w:val="000000" w:themeColor="text1" w:themeShade="BF"/>
    </w:rPr>
  </w:style>
  <w:style w:type="paragraph" w:styleId="ListBullet2">
    <w:name w:val="List Bullet 2"/>
    <w:basedOn w:val="Normal"/>
    <w:uiPriority w:val="99"/>
    <w:unhideWhenUsed/>
    <w:rsid w:val="008033C4"/>
    <w:pPr>
      <w:numPr>
        <w:numId w:val="8"/>
      </w:numPr>
      <w:spacing w:before="120"/>
      <w:ind w:left="641" w:hanging="357"/>
    </w:pPr>
  </w:style>
  <w:style w:type="paragraph" w:styleId="TOCHeading">
    <w:name w:val="TOC Heading"/>
    <w:basedOn w:val="Normal"/>
    <w:next w:val="Normal"/>
    <w:uiPriority w:val="39"/>
    <w:qFormat/>
    <w:rsid w:val="00E04818"/>
    <w:pPr>
      <w:spacing w:before="480" w:after="120"/>
    </w:pPr>
    <w:rPr>
      <w:rFonts w:ascii="Lucida Fax" w:eastAsiaTheme="majorEastAsia" w:hAnsi="Lucida Fax" w:cstheme="majorBidi"/>
      <w:bCs/>
      <w:color w:val="51626F"/>
      <w:sz w:val="32"/>
      <w:szCs w:val="28"/>
      <w:lang w:val="en-US" w:eastAsia="ja-JP"/>
    </w:rPr>
  </w:style>
  <w:style w:type="paragraph" w:styleId="ListNumber2">
    <w:name w:val="List Number 2"/>
    <w:aliases w:val="List alphabet"/>
    <w:next w:val="Normal"/>
    <w:uiPriority w:val="99"/>
    <w:rsid w:val="008033C4"/>
    <w:pPr>
      <w:numPr>
        <w:numId w:val="13"/>
      </w:numPr>
      <w:spacing w:before="120"/>
      <w:ind w:left="357" w:hanging="357"/>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8033C4"/>
    <w:pPr>
      <w:numPr>
        <w:numId w:val="29"/>
      </w:numPr>
      <w:spacing w:before="120"/>
      <w:ind w:left="714" w:hanging="357"/>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basedOn w:val="DefaultParagraphFont"/>
    <w:link w:val="Heading9"/>
    <w:uiPriority w:val="2"/>
    <w:rsid w:val="009D6B46"/>
    <w:rPr>
      <w:rFonts w:ascii="Arial" w:eastAsiaTheme="majorEastAsia" w:hAnsi="Arial" w:cstheme="majorBidi"/>
      <w:i/>
      <w:iCs/>
      <w:color w:val="51626F" w:themeColor="accent1"/>
      <w:szCs w:val="20"/>
    </w:rPr>
  </w:style>
  <w:style w:type="paragraph" w:customStyle="1" w:styleId="Numbered1111111">
    <w:name w:val="Numbered 1.1.1.1.1.1.1"/>
    <w:basedOn w:val="Heading7"/>
    <w:next w:val="Normal"/>
    <w:uiPriority w:val="2"/>
    <w:rsid w:val="00B17A1D"/>
    <w:pPr>
      <w:numPr>
        <w:ilvl w:val="6"/>
        <w:numId w:val="32"/>
      </w:numPr>
      <w:ind w:left="2381" w:hanging="2381"/>
    </w:pPr>
  </w:style>
  <w:style w:type="paragraph" w:customStyle="1" w:styleId="Numbered11111111">
    <w:name w:val="Numbered 1.1.1.1.1.1.1.1"/>
    <w:basedOn w:val="Heading8"/>
    <w:next w:val="Normal"/>
    <w:uiPriority w:val="2"/>
    <w:rsid w:val="00B17A1D"/>
    <w:pPr>
      <w:numPr>
        <w:ilvl w:val="7"/>
        <w:numId w:val="32"/>
      </w:numPr>
      <w:ind w:left="2608" w:hanging="2608"/>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qFormat/>
    <w:rsid w:val="00746E01"/>
    <w:rPr>
      <w:rFonts w:ascii="Lucida Fax" w:hAnsi="Lucida Fax"/>
      <w:color w:val="DC503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615C6B"/>
    <w:pPr>
      <w:spacing w:before="60"/>
    </w:pPr>
    <w:rPr>
      <w:sz w:val="16"/>
      <w:szCs w:val="20"/>
    </w:rPr>
  </w:style>
  <w:style w:type="character" w:customStyle="1" w:styleId="FootnoteTextChar">
    <w:name w:val="Footnote Text Char"/>
    <w:basedOn w:val="DefaultParagraphFont"/>
    <w:link w:val="FootnoteText"/>
    <w:uiPriority w:val="2"/>
    <w:rsid w:val="00615C6B"/>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customStyle="1" w:styleId="Numberedlist">
    <w:name w:val="Numbered list"/>
    <w:basedOn w:val="ListNumber"/>
    <w:rsid w:val="008033C4"/>
    <w:pPr>
      <w:numPr>
        <w:numId w:val="3"/>
      </w:numPr>
      <w:ind w:left="357" w:hanging="357"/>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after="200"/>
      <w:jc w:val="right"/>
    </w:pPr>
    <w:rPr>
      <w:rFonts w:cs="Times New Roman"/>
      <w:szCs w:val="20"/>
      <w:lang w:val="en-US" w:eastAsia="ja-JP"/>
    </w:rPr>
  </w:style>
  <w:style w:type="paragraph" w:customStyle="1" w:styleId="Numbered111111111">
    <w:name w:val="Numbered 1.1.1.1.1.1.1.1.1"/>
    <w:basedOn w:val="Heading9"/>
    <w:next w:val="Normal"/>
    <w:uiPriority w:val="2"/>
    <w:rsid w:val="00B17A1D"/>
    <w:pPr>
      <w:numPr>
        <w:ilvl w:val="8"/>
        <w:numId w:val="32"/>
      </w:numPr>
      <w:ind w:left="2948" w:hanging="2948"/>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unhideWhenUsed/>
    <w:rsid w:val="008033C4"/>
    <w:pPr>
      <w:spacing w:before="120"/>
      <w:ind w:left="284" w:hanging="284"/>
    </w:pPr>
  </w:style>
  <w:style w:type="paragraph" w:styleId="List2">
    <w:name w:val="List 2"/>
    <w:basedOn w:val="Normal"/>
    <w:uiPriority w:val="99"/>
    <w:unhideWhenUsed/>
    <w:rsid w:val="008033C4"/>
    <w:pPr>
      <w:spacing w:before="120"/>
      <w:ind w:left="568" w:hanging="284"/>
    </w:pPr>
  </w:style>
  <w:style w:type="paragraph" w:styleId="List3">
    <w:name w:val="List 3"/>
    <w:basedOn w:val="Normal"/>
    <w:uiPriority w:val="99"/>
    <w:unhideWhenUsed/>
    <w:rsid w:val="008033C4"/>
    <w:pPr>
      <w:spacing w:before="120"/>
      <w:ind w:left="851" w:hanging="284"/>
    </w:pPr>
  </w:style>
  <w:style w:type="paragraph" w:styleId="List4">
    <w:name w:val="List 4"/>
    <w:basedOn w:val="Normal"/>
    <w:uiPriority w:val="99"/>
    <w:unhideWhenUsed/>
    <w:rsid w:val="008033C4"/>
    <w:pPr>
      <w:spacing w:before="120"/>
      <w:ind w:left="1135" w:hanging="284"/>
    </w:pPr>
  </w:style>
  <w:style w:type="paragraph" w:styleId="List5">
    <w:name w:val="List 5"/>
    <w:basedOn w:val="Normal"/>
    <w:uiPriority w:val="99"/>
    <w:unhideWhenUsed/>
    <w:rsid w:val="008033C4"/>
    <w:pPr>
      <w:spacing w:before="120"/>
      <w:ind w:left="1418" w:hanging="284"/>
    </w:pPr>
  </w:style>
  <w:style w:type="paragraph" w:styleId="ListBullet3">
    <w:name w:val="List Bullet 3"/>
    <w:basedOn w:val="Normal"/>
    <w:uiPriority w:val="99"/>
    <w:unhideWhenUsed/>
    <w:rsid w:val="008033C4"/>
    <w:pPr>
      <w:numPr>
        <w:numId w:val="9"/>
      </w:numPr>
      <w:spacing w:before="120"/>
      <w:ind w:left="924" w:hanging="357"/>
    </w:pPr>
  </w:style>
  <w:style w:type="paragraph" w:styleId="ListBullet4">
    <w:name w:val="List Bullet 4"/>
    <w:basedOn w:val="Normal"/>
    <w:uiPriority w:val="99"/>
    <w:unhideWhenUsed/>
    <w:rsid w:val="008033C4"/>
    <w:pPr>
      <w:numPr>
        <w:numId w:val="10"/>
      </w:numPr>
      <w:spacing w:before="120"/>
      <w:ind w:left="1208" w:hanging="357"/>
    </w:pPr>
  </w:style>
  <w:style w:type="paragraph" w:styleId="ListBullet5">
    <w:name w:val="List Bullet 5"/>
    <w:basedOn w:val="Normal"/>
    <w:uiPriority w:val="99"/>
    <w:unhideWhenUsed/>
    <w:rsid w:val="008033C4"/>
    <w:pPr>
      <w:numPr>
        <w:numId w:val="11"/>
      </w:numPr>
      <w:spacing w:before="120"/>
      <w:ind w:left="1491" w:hanging="357"/>
    </w:pPr>
  </w:style>
  <w:style w:type="paragraph" w:styleId="ListContinue">
    <w:name w:val="List Continue"/>
    <w:basedOn w:val="Normal"/>
    <w:uiPriority w:val="99"/>
    <w:unhideWhenUsed/>
    <w:rsid w:val="0007137B"/>
    <w:pPr>
      <w:spacing w:before="120"/>
      <w:ind w:left="284"/>
    </w:pPr>
  </w:style>
  <w:style w:type="paragraph" w:styleId="ListContinue2">
    <w:name w:val="List Continue 2"/>
    <w:basedOn w:val="Normal"/>
    <w:uiPriority w:val="99"/>
    <w:unhideWhenUsed/>
    <w:rsid w:val="008033C4"/>
    <w:pPr>
      <w:spacing w:before="120"/>
      <w:ind w:left="567"/>
    </w:pPr>
  </w:style>
  <w:style w:type="paragraph" w:styleId="ListContinue3">
    <w:name w:val="List Continue 3"/>
    <w:basedOn w:val="Normal"/>
    <w:uiPriority w:val="99"/>
    <w:unhideWhenUsed/>
    <w:rsid w:val="0007137B"/>
    <w:pPr>
      <w:spacing w:before="120"/>
      <w:ind w:left="851"/>
    </w:pPr>
  </w:style>
  <w:style w:type="paragraph" w:styleId="ListContinue4">
    <w:name w:val="List Continue 4"/>
    <w:basedOn w:val="Normal"/>
    <w:uiPriority w:val="99"/>
    <w:unhideWhenUsed/>
    <w:rsid w:val="008033C4"/>
    <w:pPr>
      <w:spacing w:before="120"/>
      <w:ind w:left="1134"/>
    </w:pPr>
  </w:style>
  <w:style w:type="paragraph" w:styleId="ListNumber3">
    <w:name w:val="List Number 3"/>
    <w:basedOn w:val="Normal"/>
    <w:uiPriority w:val="99"/>
    <w:unhideWhenUsed/>
    <w:rsid w:val="008033C4"/>
    <w:pPr>
      <w:numPr>
        <w:numId w:val="14"/>
      </w:numPr>
      <w:spacing w:before="120"/>
      <w:ind w:left="924" w:hanging="357"/>
    </w:pPr>
  </w:style>
  <w:style w:type="paragraph" w:styleId="ListNumber4">
    <w:name w:val="List Number 4"/>
    <w:basedOn w:val="Normal"/>
    <w:uiPriority w:val="99"/>
    <w:unhideWhenUsed/>
    <w:rsid w:val="008033C4"/>
    <w:pPr>
      <w:numPr>
        <w:numId w:val="15"/>
      </w:numPr>
      <w:spacing w:before="120"/>
      <w:ind w:left="1208" w:hanging="357"/>
    </w:pPr>
  </w:style>
  <w:style w:type="paragraph" w:styleId="ListNumber5">
    <w:name w:val="List Number 5"/>
    <w:basedOn w:val="Normal"/>
    <w:uiPriority w:val="99"/>
    <w:unhideWhenUsed/>
    <w:rsid w:val="008033C4"/>
    <w:pPr>
      <w:numPr>
        <w:numId w:val="16"/>
      </w:numPr>
      <w:spacing w:before="120"/>
      <w:ind w:left="1491" w:hanging="357"/>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263AC0"/>
    <w:rPr>
      <w:vertAlign w:val="superscript"/>
    </w:rPr>
  </w:style>
  <w:style w:type="paragraph" w:customStyle="1" w:styleId="Numberedparagraph11">
    <w:name w:val="Numbered paragraph 1.1"/>
    <w:basedOn w:val="Numbered11"/>
    <w:rsid w:val="00063247"/>
    <w:pPr>
      <w:ind w:left="680" w:hanging="680"/>
      <w:outlineLvl w:val="9"/>
    </w:pPr>
    <w:rPr>
      <w:bCs w:val="0"/>
      <w:color w:val="auto"/>
      <w:sz w:val="22"/>
    </w:rPr>
  </w:style>
  <w:style w:type="character" w:customStyle="1" w:styleId="Numbered1Char">
    <w:name w:val="Numbered 1 Char"/>
    <w:basedOn w:val="Heading1Char"/>
    <w:link w:val="Numbered1"/>
    <w:rsid w:val="00085663"/>
    <w:rPr>
      <w:rFonts w:ascii="Lucida Fax" w:eastAsiaTheme="majorEastAsia" w:hAnsi="Lucida Fax" w:cstheme="majorBidi"/>
      <w:bCs/>
      <w:color w:val="51626F"/>
      <w:sz w:val="32"/>
      <w:szCs w:val="28"/>
    </w:rPr>
  </w:style>
  <w:style w:type="paragraph" w:customStyle="1" w:styleId="Numberedparagraph">
    <w:name w:val="Numbered paragraph"/>
    <w:basedOn w:val="Numberedlist"/>
    <w:rsid w:val="00FE64AE"/>
    <w:pPr>
      <w:spacing w:before="200"/>
      <w:ind w:left="680" w:hanging="680"/>
    </w:pPr>
    <w:rPr>
      <w:rFonts w:eastAsia="Times New Roman" w:cs="Times New Roman"/>
      <w:szCs w:val="20"/>
    </w:rPr>
  </w:style>
  <w:style w:type="paragraph" w:customStyle="1" w:styleId="Default">
    <w:name w:val="Default"/>
    <w:rsid w:val="00596642"/>
    <w:pPr>
      <w:autoSpaceDE w:val="0"/>
      <w:autoSpaceDN w:val="0"/>
      <w:adjustRightInd w:val="0"/>
      <w:spacing w:before="0" w:after="200" w:line="276" w:lineRule="auto"/>
    </w:pPr>
    <w:rPr>
      <w:rFonts w:ascii="Calibri" w:eastAsiaTheme="minorEastAsia" w:hAnsi="Calibri" w:cs="Calibri"/>
      <w:color w:val="000000"/>
      <w:sz w:val="24"/>
      <w:szCs w:val="24"/>
    </w:rPr>
  </w:style>
  <w:style w:type="character" w:styleId="CommentReference">
    <w:name w:val="annotation reference"/>
    <w:basedOn w:val="DefaultParagraphFont"/>
    <w:uiPriority w:val="99"/>
    <w:semiHidden/>
    <w:unhideWhenUsed/>
    <w:rsid w:val="00123B0D"/>
    <w:rPr>
      <w:sz w:val="16"/>
      <w:szCs w:val="16"/>
    </w:rPr>
  </w:style>
  <w:style w:type="paragraph" w:styleId="CommentText">
    <w:name w:val="annotation text"/>
    <w:basedOn w:val="Normal"/>
    <w:link w:val="CommentTextChar"/>
    <w:uiPriority w:val="99"/>
    <w:semiHidden/>
    <w:unhideWhenUsed/>
    <w:rsid w:val="00123B0D"/>
    <w:pPr>
      <w:spacing w:line="240" w:lineRule="auto"/>
    </w:pPr>
    <w:rPr>
      <w:sz w:val="20"/>
      <w:szCs w:val="20"/>
    </w:rPr>
  </w:style>
  <w:style w:type="character" w:customStyle="1" w:styleId="CommentTextChar">
    <w:name w:val="Comment Text Char"/>
    <w:basedOn w:val="DefaultParagraphFont"/>
    <w:link w:val="CommentText"/>
    <w:uiPriority w:val="99"/>
    <w:semiHidden/>
    <w:rsid w:val="00123B0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23B0D"/>
    <w:rPr>
      <w:b/>
      <w:bCs/>
    </w:rPr>
  </w:style>
  <w:style w:type="character" w:customStyle="1" w:styleId="CommentSubjectChar">
    <w:name w:val="Comment Subject Char"/>
    <w:basedOn w:val="CommentTextChar"/>
    <w:link w:val="CommentSubject"/>
    <w:uiPriority w:val="99"/>
    <w:semiHidden/>
    <w:rsid w:val="00123B0D"/>
    <w:rPr>
      <w:rFonts w:eastAsiaTheme="minorEastAsia"/>
      <w:b/>
      <w:bCs/>
      <w:sz w:val="20"/>
      <w:szCs w:val="20"/>
    </w:rPr>
  </w:style>
  <w:style w:type="paragraph" w:styleId="Revision">
    <w:name w:val="Revision"/>
    <w:hidden/>
    <w:uiPriority w:val="99"/>
    <w:semiHidden/>
    <w:rsid w:val="00F47F4C"/>
    <w:pPr>
      <w:spacing w:before="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footnote text" w:uiPriority="2"/>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596642"/>
    <w:pPr>
      <w:spacing w:before="0" w:after="200" w:line="276" w:lineRule="auto"/>
    </w:pPr>
    <w:rPr>
      <w:rFonts w:eastAsiaTheme="minorEastAsia"/>
    </w:rPr>
  </w:style>
  <w:style w:type="paragraph" w:styleId="Heading1">
    <w:name w:val="heading 1"/>
    <w:basedOn w:val="Normal"/>
    <w:next w:val="Normal"/>
    <w:link w:val="Heading1Char"/>
    <w:uiPriority w:val="9"/>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basedOn w:val="Normal"/>
    <w:next w:val="Normal"/>
    <w:link w:val="Heading9Char"/>
    <w:uiPriority w:val="2"/>
    <w:qFormat/>
    <w:rsid w:val="009D6B46"/>
    <w:pPr>
      <w:spacing w:before="240"/>
      <w:outlineLvl w:val="8"/>
    </w:pPr>
    <w:rPr>
      <w:rFonts w:eastAsiaTheme="majorEastAsia" w:cstheme="majorBidi"/>
      <w:i/>
      <w:iCs/>
      <w:color w:val="51626F"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Reporttitle">
    <w:name w:val="Report title"/>
    <w:basedOn w:val="Normal"/>
    <w:link w:val="ReporttitleChar"/>
    <w:qFormat/>
    <w:rsid w:val="005C26CC"/>
    <w:pPr>
      <w:spacing w:before="520" w:after="120"/>
    </w:pPr>
    <w:rPr>
      <w:rFonts w:ascii="Lucida Fax" w:hAnsi="Lucida Fax"/>
      <w:color w:val="4F2D7F"/>
      <w:sz w:val="72"/>
      <w:szCs w:val="56"/>
    </w:rPr>
  </w:style>
  <w:style w:type="character" w:customStyle="1" w:styleId="ReporttitleChar">
    <w:name w:val="Report title Char"/>
    <w:basedOn w:val="DefaultParagraphFont"/>
    <w:link w:val="Reporttitle"/>
    <w:rsid w:val="005C26CC"/>
    <w:rPr>
      <w:rFonts w:ascii="Lucida Fax" w:hAnsi="Lucida Fax"/>
      <w:color w:val="4F2D7F"/>
      <w:sz w:val="72"/>
      <w:szCs w:val="56"/>
    </w:rPr>
  </w:style>
  <w:style w:type="paragraph" w:customStyle="1" w:styleId="Chaptertitle">
    <w:name w:val="Chapter title"/>
    <w:basedOn w:val="Reporttitle"/>
    <w:link w:val="ChaptertitleChar"/>
    <w:qFormat/>
    <w:rsid w:val="00B87C39"/>
    <w:rPr>
      <w:sz w:val="52"/>
      <w:szCs w:val="52"/>
    </w:rPr>
  </w:style>
  <w:style w:type="character" w:customStyle="1" w:styleId="ChaptertitleChar">
    <w:name w:val="Chapter title Char"/>
    <w:basedOn w:val="ReporttitleChar"/>
    <w:link w:val="Chaptertitle"/>
    <w:rsid w:val="00B87C39"/>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085663"/>
    <w:pPr>
      <w:numPr>
        <w:numId w:val="32"/>
      </w:numPr>
      <w:ind w:left="680" w:hanging="680"/>
    </w:pPr>
  </w:style>
  <w:style w:type="paragraph" w:customStyle="1" w:styleId="Numbered11">
    <w:name w:val="Numbered 1.1"/>
    <w:basedOn w:val="Heading2"/>
    <w:next w:val="Normal"/>
    <w:qFormat/>
    <w:rsid w:val="00B17A1D"/>
    <w:pPr>
      <w:numPr>
        <w:ilvl w:val="1"/>
        <w:numId w:val="32"/>
      </w:numPr>
      <w:ind w:left="1021" w:hanging="1021"/>
    </w:pPr>
    <w:rPr>
      <w:rFonts w:cs="Arial"/>
      <w:b w:val="0"/>
    </w:rPr>
  </w:style>
  <w:style w:type="paragraph" w:customStyle="1" w:styleId="Numbered111">
    <w:name w:val="Numbered 1.1.1"/>
    <w:basedOn w:val="Heading3"/>
    <w:next w:val="Normal"/>
    <w:qFormat/>
    <w:rsid w:val="00B17A1D"/>
    <w:pPr>
      <w:numPr>
        <w:ilvl w:val="2"/>
        <w:numId w:val="32"/>
      </w:numPr>
      <w:ind w:left="1247" w:hanging="1247"/>
      <w:contextualSpacing/>
    </w:pPr>
  </w:style>
  <w:style w:type="paragraph" w:customStyle="1" w:styleId="Numbered1111">
    <w:name w:val="Numbered 1.1.1.1"/>
    <w:basedOn w:val="Heading4"/>
    <w:next w:val="Normal"/>
    <w:rsid w:val="00B17A1D"/>
    <w:pPr>
      <w:numPr>
        <w:ilvl w:val="3"/>
        <w:numId w:val="32"/>
      </w:numPr>
      <w:ind w:left="1474" w:hanging="1474"/>
    </w:pPr>
  </w:style>
  <w:style w:type="paragraph" w:customStyle="1" w:styleId="Numbered11111">
    <w:name w:val="Numbered 1.1.1.1.1"/>
    <w:basedOn w:val="Heading5"/>
    <w:next w:val="Normal"/>
    <w:uiPriority w:val="2"/>
    <w:rsid w:val="00B17A1D"/>
    <w:pPr>
      <w:numPr>
        <w:ilvl w:val="4"/>
        <w:numId w:val="32"/>
      </w:numPr>
      <w:ind w:left="1701" w:hanging="1701"/>
    </w:pPr>
  </w:style>
  <w:style w:type="paragraph" w:customStyle="1" w:styleId="Numbered111111">
    <w:name w:val="Numbered 1.1.1.1.1.1"/>
    <w:basedOn w:val="Heading6"/>
    <w:next w:val="Normal"/>
    <w:uiPriority w:val="2"/>
    <w:rsid w:val="00B17A1D"/>
    <w:pPr>
      <w:numPr>
        <w:ilvl w:val="5"/>
        <w:numId w:val="32"/>
      </w:numPr>
      <w:ind w:left="2155" w:hanging="2155"/>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qFormat/>
    <w:rsid w:val="005C26CC"/>
    <w:rPr>
      <w:sz w:val="24"/>
    </w:rPr>
  </w:style>
  <w:style w:type="paragraph" w:styleId="EndnoteText">
    <w:name w:val="endnote text"/>
    <w:basedOn w:val="Normal"/>
    <w:link w:val="EndnoteTextChar"/>
    <w:uiPriority w:val="99"/>
    <w:rsid w:val="00263AC0"/>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qFormat/>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FE64AE"/>
    <w:pPr>
      <w:numPr>
        <w:numId w:val="7"/>
      </w:numPr>
    </w:pPr>
    <w:rPr>
      <w:rFonts w:cs="Times New Roman"/>
    </w:rPr>
  </w:style>
  <w:style w:type="paragraph" w:styleId="ListBullet">
    <w:name w:val="List Bullet"/>
    <w:basedOn w:val="Normal"/>
    <w:uiPriority w:val="99"/>
    <w:unhideWhenUsed/>
    <w:rsid w:val="008033C4"/>
    <w:pPr>
      <w:numPr>
        <w:numId w:val="28"/>
      </w:numPr>
      <w:spacing w:before="120"/>
      <w:ind w:left="357" w:hanging="357"/>
    </w:pPr>
  </w:style>
  <w:style w:type="paragraph" w:customStyle="1" w:styleId="Bulletpoint2">
    <w:name w:val="Bullet point 2"/>
    <w:basedOn w:val="ListBullet2"/>
    <w:uiPriority w:val="1"/>
    <w:qFormat/>
    <w:rsid w:val="008033C4"/>
    <w:pPr>
      <w:numPr>
        <w:numId w:val="17"/>
      </w:numPr>
      <w:ind w:left="998" w:hanging="357"/>
    </w:pPr>
  </w:style>
  <w:style w:type="paragraph" w:styleId="ListNumber">
    <w:name w:val="List Number"/>
    <w:basedOn w:val="Normal"/>
    <w:uiPriority w:val="99"/>
    <w:rsid w:val="008033C4"/>
    <w:pPr>
      <w:numPr>
        <w:numId w:val="12"/>
      </w:numPr>
      <w:spacing w:before="120"/>
      <w:ind w:left="357" w:hanging="357"/>
    </w:pPr>
    <w:rPr>
      <w:color w:val="000000" w:themeColor="text1" w:themeShade="BF"/>
    </w:rPr>
  </w:style>
  <w:style w:type="paragraph" w:styleId="ListBullet2">
    <w:name w:val="List Bullet 2"/>
    <w:basedOn w:val="Normal"/>
    <w:uiPriority w:val="99"/>
    <w:unhideWhenUsed/>
    <w:rsid w:val="008033C4"/>
    <w:pPr>
      <w:numPr>
        <w:numId w:val="8"/>
      </w:numPr>
      <w:spacing w:before="120"/>
      <w:ind w:left="641" w:hanging="357"/>
    </w:pPr>
  </w:style>
  <w:style w:type="paragraph" w:styleId="TOCHeading">
    <w:name w:val="TOC Heading"/>
    <w:basedOn w:val="Normal"/>
    <w:next w:val="Normal"/>
    <w:uiPriority w:val="39"/>
    <w:qFormat/>
    <w:rsid w:val="00E04818"/>
    <w:pPr>
      <w:spacing w:before="480" w:after="120"/>
    </w:pPr>
    <w:rPr>
      <w:rFonts w:ascii="Lucida Fax" w:eastAsiaTheme="majorEastAsia" w:hAnsi="Lucida Fax" w:cstheme="majorBidi"/>
      <w:bCs/>
      <w:color w:val="51626F"/>
      <w:sz w:val="32"/>
      <w:szCs w:val="28"/>
      <w:lang w:val="en-US" w:eastAsia="ja-JP"/>
    </w:rPr>
  </w:style>
  <w:style w:type="paragraph" w:styleId="ListNumber2">
    <w:name w:val="List Number 2"/>
    <w:aliases w:val="List alphabet"/>
    <w:next w:val="Normal"/>
    <w:uiPriority w:val="99"/>
    <w:rsid w:val="008033C4"/>
    <w:pPr>
      <w:numPr>
        <w:numId w:val="13"/>
      </w:numPr>
      <w:spacing w:before="120"/>
      <w:ind w:left="357" w:hanging="357"/>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8033C4"/>
    <w:pPr>
      <w:numPr>
        <w:numId w:val="29"/>
      </w:numPr>
      <w:spacing w:before="120"/>
      <w:ind w:left="714" w:hanging="357"/>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basedOn w:val="DefaultParagraphFont"/>
    <w:link w:val="Heading9"/>
    <w:uiPriority w:val="2"/>
    <w:rsid w:val="009D6B46"/>
    <w:rPr>
      <w:rFonts w:ascii="Arial" w:eastAsiaTheme="majorEastAsia" w:hAnsi="Arial" w:cstheme="majorBidi"/>
      <w:i/>
      <w:iCs/>
      <w:color w:val="51626F" w:themeColor="accent1"/>
      <w:szCs w:val="20"/>
    </w:rPr>
  </w:style>
  <w:style w:type="paragraph" w:customStyle="1" w:styleId="Numbered1111111">
    <w:name w:val="Numbered 1.1.1.1.1.1.1"/>
    <w:basedOn w:val="Heading7"/>
    <w:next w:val="Normal"/>
    <w:uiPriority w:val="2"/>
    <w:rsid w:val="00B17A1D"/>
    <w:pPr>
      <w:numPr>
        <w:ilvl w:val="6"/>
        <w:numId w:val="32"/>
      </w:numPr>
      <w:ind w:left="2381" w:hanging="2381"/>
    </w:pPr>
  </w:style>
  <w:style w:type="paragraph" w:customStyle="1" w:styleId="Numbered11111111">
    <w:name w:val="Numbered 1.1.1.1.1.1.1.1"/>
    <w:basedOn w:val="Heading8"/>
    <w:next w:val="Normal"/>
    <w:uiPriority w:val="2"/>
    <w:rsid w:val="00B17A1D"/>
    <w:pPr>
      <w:numPr>
        <w:ilvl w:val="7"/>
        <w:numId w:val="32"/>
      </w:numPr>
      <w:ind w:left="2608" w:hanging="2608"/>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qFormat/>
    <w:rsid w:val="00746E01"/>
    <w:rPr>
      <w:rFonts w:ascii="Lucida Fax" w:hAnsi="Lucida Fax"/>
      <w:color w:val="DC503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615C6B"/>
    <w:pPr>
      <w:spacing w:before="60"/>
    </w:pPr>
    <w:rPr>
      <w:sz w:val="16"/>
      <w:szCs w:val="20"/>
    </w:rPr>
  </w:style>
  <w:style w:type="character" w:customStyle="1" w:styleId="FootnoteTextChar">
    <w:name w:val="Footnote Text Char"/>
    <w:basedOn w:val="DefaultParagraphFont"/>
    <w:link w:val="FootnoteText"/>
    <w:uiPriority w:val="2"/>
    <w:rsid w:val="00615C6B"/>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customStyle="1" w:styleId="Numberedlist">
    <w:name w:val="Numbered list"/>
    <w:basedOn w:val="ListNumber"/>
    <w:rsid w:val="008033C4"/>
    <w:pPr>
      <w:numPr>
        <w:numId w:val="3"/>
      </w:numPr>
      <w:ind w:left="357" w:hanging="357"/>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after="200"/>
      <w:jc w:val="right"/>
    </w:pPr>
    <w:rPr>
      <w:rFonts w:cs="Times New Roman"/>
      <w:szCs w:val="20"/>
      <w:lang w:val="en-US" w:eastAsia="ja-JP"/>
    </w:rPr>
  </w:style>
  <w:style w:type="paragraph" w:customStyle="1" w:styleId="Numbered111111111">
    <w:name w:val="Numbered 1.1.1.1.1.1.1.1.1"/>
    <w:basedOn w:val="Heading9"/>
    <w:next w:val="Normal"/>
    <w:uiPriority w:val="2"/>
    <w:rsid w:val="00B17A1D"/>
    <w:pPr>
      <w:numPr>
        <w:ilvl w:val="8"/>
        <w:numId w:val="32"/>
      </w:numPr>
      <w:ind w:left="2948" w:hanging="2948"/>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unhideWhenUsed/>
    <w:rsid w:val="008033C4"/>
    <w:pPr>
      <w:spacing w:before="120"/>
      <w:ind w:left="284" w:hanging="284"/>
    </w:pPr>
  </w:style>
  <w:style w:type="paragraph" w:styleId="List2">
    <w:name w:val="List 2"/>
    <w:basedOn w:val="Normal"/>
    <w:uiPriority w:val="99"/>
    <w:unhideWhenUsed/>
    <w:rsid w:val="008033C4"/>
    <w:pPr>
      <w:spacing w:before="120"/>
      <w:ind w:left="568" w:hanging="284"/>
    </w:pPr>
  </w:style>
  <w:style w:type="paragraph" w:styleId="List3">
    <w:name w:val="List 3"/>
    <w:basedOn w:val="Normal"/>
    <w:uiPriority w:val="99"/>
    <w:unhideWhenUsed/>
    <w:rsid w:val="008033C4"/>
    <w:pPr>
      <w:spacing w:before="120"/>
      <w:ind w:left="851" w:hanging="284"/>
    </w:pPr>
  </w:style>
  <w:style w:type="paragraph" w:styleId="List4">
    <w:name w:val="List 4"/>
    <w:basedOn w:val="Normal"/>
    <w:uiPriority w:val="99"/>
    <w:unhideWhenUsed/>
    <w:rsid w:val="008033C4"/>
    <w:pPr>
      <w:spacing w:before="120"/>
      <w:ind w:left="1135" w:hanging="284"/>
    </w:pPr>
  </w:style>
  <w:style w:type="paragraph" w:styleId="List5">
    <w:name w:val="List 5"/>
    <w:basedOn w:val="Normal"/>
    <w:uiPriority w:val="99"/>
    <w:unhideWhenUsed/>
    <w:rsid w:val="008033C4"/>
    <w:pPr>
      <w:spacing w:before="120"/>
      <w:ind w:left="1418" w:hanging="284"/>
    </w:pPr>
  </w:style>
  <w:style w:type="paragraph" w:styleId="ListBullet3">
    <w:name w:val="List Bullet 3"/>
    <w:basedOn w:val="Normal"/>
    <w:uiPriority w:val="99"/>
    <w:unhideWhenUsed/>
    <w:rsid w:val="008033C4"/>
    <w:pPr>
      <w:numPr>
        <w:numId w:val="9"/>
      </w:numPr>
      <w:spacing w:before="120"/>
      <w:ind w:left="924" w:hanging="357"/>
    </w:pPr>
  </w:style>
  <w:style w:type="paragraph" w:styleId="ListBullet4">
    <w:name w:val="List Bullet 4"/>
    <w:basedOn w:val="Normal"/>
    <w:uiPriority w:val="99"/>
    <w:unhideWhenUsed/>
    <w:rsid w:val="008033C4"/>
    <w:pPr>
      <w:numPr>
        <w:numId w:val="10"/>
      </w:numPr>
      <w:spacing w:before="120"/>
      <w:ind w:left="1208" w:hanging="357"/>
    </w:pPr>
  </w:style>
  <w:style w:type="paragraph" w:styleId="ListBullet5">
    <w:name w:val="List Bullet 5"/>
    <w:basedOn w:val="Normal"/>
    <w:uiPriority w:val="99"/>
    <w:unhideWhenUsed/>
    <w:rsid w:val="008033C4"/>
    <w:pPr>
      <w:numPr>
        <w:numId w:val="11"/>
      </w:numPr>
      <w:spacing w:before="120"/>
      <w:ind w:left="1491" w:hanging="357"/>
    </w:pPr>
  </w:style>
  <w:style w:type="paragraph" w:styleId="ListContinue">
    <w:name w:val="List Continue"/>
    <w:basedOn w:val="Normal"/>
    <w:uiPriority w:val="99"/>
    <w:unhideWhenUsed/>
    <w:rsid w:val="0007137B"/>
    <w:pPr>
      <w:spacing w:before="120"/>
      <w:ind w:left="284"/>
    </w:pPr>
  </w:style>
  <w:style w:type="paragraph" w:styleId="ListContinue2">
    <w:name w:val="List Continue 2"/>
    <w:basedOn w:val="Normal"/>
    <w:uiPriority w:val="99"/>
    <w:unhideWhenUsed/>
    <w:rsid w:val="008033C4"/>
    <w:pPr>
      <w:spacing w:before="120"/>
      <w:ind w:left="567"/>
    </w:pPr>
  </w:style>
  <w:style w:type="paragraph" w:styleId="ListContinue3">
    <w:name w:val="List Continue 3"/>
    <w:basedOn w:val="Normal"/>
    <w:uiPriority w:val="99"/>
    <w:unhideWhenUsed/>
    <w:rsid w:val="0007137B"/>
    <w:pPr>
      <w:spacing w:before="120"/>
      <w:ind w:left="851"/>
    </w:pPr>
  </w:style>
  <w:style w:type="paragraph" w:styleId="ListContinue4">
    <w:name w:val="List Continue 4"/>
    <w:basedOn w:val="Normal"/>
    <w:uiPriority w:val="99"/>
    <w:unhideWhenUsed/>
    <w:rsid w:val="008033C4"/>
    <w:pPr>
      <w:spacing w:before="120"/>
      <w:ind w:left="1134"/>
    </w:pPr>
  </w:style>
  <w:style w:type="paragraph" w:styleId="ListNumber3">
    <w:name w:val="List Number 3"/>
    <w:basedOn w:val="Normal"/>
    <w:uiPriority w:val="99"/>
    <w:unhideWhenUsed/>
    <w:rsid w:val="008033C4"/>
    <w:pPr>
      <w:numPr>
        <w:numId w:val="14"/>
      </w:numPr>
      <w:spacing w:before="120"/>
      <w:ind w:left="924" w:hanging="357"/>
    </w:pPr>
  </w:style>
  <w:style w:type="paragraph" w:styleId="ListNumber4">
    <w:name w:val="List Number 4"/>
    <w:basedOn w:val="Normal"/>
    <w:uiPriority w:val="99"/>
    <w:unhideWhenUsed/>
    <w:rsid w:val="008033C4"/>
    <w:pPr>
      <w:numPr>
        <w:numId w:val="15"/>
      </w:numPr>
      <w:spacing w:before="120"/>
      <w:ind w:left="1208" w:hanging="357"/>
    </w:pPr>
  </w:style>
  <w:style w:type="paragraph" w:styleId="ListNumber5">
    <w:name w:val="List Number 5"/>
    <w:basedOn w:val="Normal"/>
    <w:uiPriority w:val="99"/>
    <w:unhideWhenUsed/>
    <w:rsid w:val="008033C4"/>
    <w:pPr>
      <w:numPr>
        <w:numId w:val="16"/>
      </w:numPr>
      <w:spacing w:before="120"/>
      <w:ind w:left="1491" w:hanging="357"/>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263AC0"/>
    <w:rPr>
      <w:vertAlign w:val="superscript"/>
    </w:rPr>
  </w:style>
  <w:style w:type="paragraph" w:customStyle="1" w:styleId="Numberedparagraph11">
    <w:name w:val="Numbered paragraph 1.1"/>
    <w:basedOn w:val="Numbered11"/>
    <w:rsid w:val="00063247"/>
    <w:pPr>
      <w:ind w:left="680" w:hanging="680"/>
      <w:outlineLvl w:val="9"/>
    </w:pPr>
    <w:rPr>
      <w:bCs w:val="0"/>
      <w:color w:val="auto"/>
      <w:sz w:val="22"/>
    </w:rPr>
  </w:style>
  <w:style w:type="character" w:customStyle="1" w:styleId="Numbered1Char">
    <w:name w:val="Numbered 1 Char"/>
    <w:basedOn w:val="Heading1Char"/>
    <w:link w:val="Numbered1"/>
    <w:rsid w:val="00085663"/>
    <w:rPr>
      <w:rFonts w:ascii="Lucida Fax" w:eastAsiaTheme="majorEastAsia" w:hAnsi="Lucida Fax" w:cstheme="majorBidi"/>
      <w:bCs/>
      <w:color w:val="51626F"/>
      <w:sz w:val="32"/>
      <w:szCs w:val="28"/>
    </w:rPr>
  </w:style>
  <w:style w:type="paragraph" w:customStyle="1" w:styleId="Numberedparagraph">
    <w:name w:val="Numbered paragraph"/>
    <w:basedOn w:val="Numberedlist"/>
    <w:rsid w:val="00FE64AE"/>
    <w:pPr>
      <w:spacing w:before="200"/>
      <w:ind w:left="680" w:hanging="680"/>
    </w:pPr>
    <w:rPr>
      <w:rFonts w:eastAsia="Times New Roman" w:cs="Times New Roman"/>
      <w:szCs w:val="20"/>
    </w:rPr>
  </w:style>
  <w:style w:type="paragraph" w:customStyle="1" w:styleId="Default">
    <w:name w:val="Default"/>
    <w:rsid w:val="00596642"/>
    <w:pPr>
      <w:autoSpaceDE w:val="0"/>
      <w:autoSpaceDN w:val="0"/>
      <w:adjustRightInd w:val="0"/>
      <w:spacing w:before="0" w:after="200" w:line="276" w:lineRule="auto"/>
    </w:pPr>
    <w:rPr>
      <w:rFonts w:ascii="Calibri" w:eastAsiaTheme="minorEastAsia" w:hAnsi="Calibri" w:cs="Calibri"/>
      <w:color w:val="000000"/>
      <w:sz w:val="24"/>
      <w:szCs w:val="24"/>
    </w:rPr>
  </w:style>
  <w:style w:type="character" w:styleId="CommentReference">
    <w:name w:val="annotation reference"/>
    <w:basedOn w:val="DefaultParagraphFont"/>
    <w:uiPriority w:val="99"/>
    <w:semiHidden/>
    <w:unhideWhenUsed/>
    <w:rsid w:val="00123B0D"/>
    <w:rPr>
      <w:sz w:val="16"/>
      <w:szCs w:val="16"/>
    </w:rPr>
  </w:style>
  <w:style w:type="paragraph" w:styleId="CommentText">
    <w:name w:val="annotation text"/>
    <w:basedOn w:val="Normal"/>
    <w:link w:val="CommentTextChar"/>
    <w:uiPriority w:val="99"/>
    <w:semiHidden/>
    <w:unhideWhenUsed/>
    <w:rsid w:val="00123B0D"/>
    <w:pPr>
      <w:spacing w:line="240" w:lineRule="auto"/>
    </w:pPr>
    <w:rPr>
      <w:sz w:val="20"/>
      <w:szCs w:val="20"/>
    </w:rPr>
  </w:style>
  <w:style w:type="character" w:customStyle="1" w:styleId="CommentTextChar">
    <w:name w:val="Comment Text Char"/>
    <w:basedOn w:val="DefaultParagraphFont"/>
    <w:link w:val="CommentText"/>
    <w:uiPriority w:val="99"/>
    <w:semiHidden/>
    <w:rsid w:val="00123B0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23B0D"/>
    <w:rPr>
      <w:b/>
      <w:bCs/>
    </w:rPr>
  </w:style>
  <w:style w:type="character" w:customStyle="1" w:styleId="CommentSubjectChar">
    <w:name w:val="Comment Subject Char"/>
    <w:basedOn w:val="CommentTextChar"/>
    <w:link w:val="CommentSubject"/>
    <w:uiPriority w:val="99"/>
    <w:semiHidden/>
    <w:rsid w:val="00123B0D"/>
    <w:rPr>
      <w:rFonts w:eastAsiaTheme="minorEastAsia"/>
      <w:b/>
      <w:bCs/>
      <w:sz w:val="20"/>
      <w:szCs w:val="20"/>
    </w:rPr>
  </w:style>
  <w:style w:type="paragraph" w:styleId="Revision">
    <w:name w:val="Revision"/>
    <w:hidden/>
    <w:uiPriority w:val="99"/>
    <w:semiHidden/>
    <w:rsid w:val="00F47F4C"/>
    <w:pPr>
      <w:spacing w:before="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ductsafety.regulation@accc.gov.a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roductsafety.regulation@acc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sultation.accc.gov.au/product-safety/internationalstandard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s://www.cuttingredtape.gov.au/handbook/australian-government-guide-regulation"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pmc.gov.au/sites/default/files/publications/industry_innovation_competitiveness_agenda.pdf"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8BDE29-52B3-42DB-9BEB-C3B620B3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A40EA632</Template>
  <TotalTime>0</TotalTime>
  <Pages>9</Pages>
  <Words>2517</Words>
  <Characters>14351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16835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Burela, Kathryn</dc:creator>
  <cp:lastModifiedBy>Burela, Kathryn</cp:lastModifiedBy>
  <cp:revision>3</cp:revision>
  <cp:lastPrinted>2015-05-11T01:10:00Z</cp:lastPrinted>
  <dcterms:created xsi:type="dcterms:W3CDTF">2015-05-11T01:10:00Z</dcterms:created>
  <dcterms:modified xsi:type="dcterms:W3CDTF">2015-05-11T01:10:00Z</dcterms:modified>
</cp:coreProperties>
</file>