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3892015"/>
        <w:docPartObj>
          <w:docPartGallery w:val="Cover Pages"/>
          <w:docPartUnique/>
        </w:docPartObj>
      </w:sdtPr>
      <w:sdtEndPr/>
      <w:sdtContent>
        <w:p w:rsidR="00687F39" w:rsidRDefault="00687F39" w:rsidP="008945B4">
          <w:r>
            <w:rPr>
              <w:noProof/>
              <w:lang w:eastAsia="en-AU"/>
            </w:rPr>
            <mc:AlternateContent>
              <mc:Choice Requires="wps">
                <w:drawing>
                  <wp:anchor distT="0" distB="0" distL="114300" distR="114300" simplePos="0" relativeHeight="251659264" behindDoc="1" locked="0" layoutInCell="1" allowOverlap="1" wp14:anchorId="76B8FF9E" wp14:editId="3233467D">
                    <wp:simplePos x="0" y="0"/>
                    <wp:positionH relativeFrom="column">
                      <wp:posOffset>-657225</wp:posOffset>
                    </wp:positionH>
                    <wp:positionV relativeFrom="paragraph">
                      <wp:posOffset>-559435</wp:posOffset>
                    </wp:positionV>
                    <wp:extent cx="7058025" cy="10163175"/>
                    <wp:effectExtent l="0" t="0" r="9525" b="9525"/>
                    <wp:wrapNone/>
                    <wp:docPr id="3" name="Rectangle 3"/>
                    <wp:cNvGraphicFramePr/>
                    <a:graphic xmlns:a="http://schemas.openxmlformats.org/drawingml/2006/main">
                      <a:graphicData uri="http://schemas.microsoft.com/office/word/2010/wordprocessingShape">
                        <wps:wsp>
                          <wps:cNvSpPr/>
                          <wps:spPr>
                            <a:xfrm>
                              <a:off x="0" y="0"/>
                              <a:ext cx="7058025" cy="101631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75pt;margin-top:-44.05pt;width:555.75pt;height:80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" fillcolor="#d5d6d2 [3214]" stroked="f" strokeweight="2pt"/>
                </w:pict>
              </mc:Fallback>
            </mc:AlternateContent>
          </w:r>
          <w:r>
            <w:rPr>
              <w:noProof/>
              <w:lang w:eastAsia="en-AU"/>
            </w:rPr>
            <w:drawing>
              <wp:inline distT="0" distB="0" distL="0" distR="0" wp14:anchorId="7423E713" wp14:editId="2064B08D">
                <wp:extent cx="2725235" cy="609600"/>
                <wp:effectExtent l="0" t="0" r="0" b="0"/>
                <wp:docPr id="4" name="Picture 4" title="A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C+GovtCrest_PMS286_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028" cy="609330"/>
                        </a:xfrm>
                        <a:prstGeom prst="rect">
                          <a:avLst/>
                        </a:prstGeom>
                      </pic:spPr>
                    </pic:pic>
                  </a:graphicData>
                </a:graphic>
              </wp:inline>
            </w:drawing>
          </w:r>
        </w:p>
        <w:p w:rsidR="00687F39" w:rsidRPr="005E6C0E" w:rsidRDefault="00687F39" w:rsidP="00181223"/>
        <w:tbl>
          <w:tblPr>
            <w:tblStyle w:val="TableGrid"/>
            <w:tblW w:w="0" w:type="auto"/>
            <w:tblBorders>
              <w:top w:val="none" w:sz="0" w:space="0" w:color="auto"/>
              <w:bottom w:val="none" w:sz="0" w:space="0" w:color="auto"/>
            </w:tblBorders>
            <w:tblLook w:val="0400" w:firstRow="0" w:lastRow="0" w:firstColumn="0" w:lastColumn="0" w:noHBand="0" w:noVBand="1"/>
          </w:tblPr>
          <w:tblGrid>
            <w:gridCol w:w="9242"/>
          </w:tblGrid>
          <w:tr w:rsidR="00687F39" w:rsidRPr="00C755AD" w:rsidTr="00C755AD">
            <w:trPr>
              <w:trHeight w:val="3135"/>
            </w:trPr>
            <w:tc>
              <w:tcPr>
                <w:tcW w:w="9242" w:type="dxa"/>
              </w:tcPr>
              <w:p w:rsidR="00687F39" w:rsidRPr="00C755AD" w:rsidRDefault="00687F39" w:rsidP="00C755AD">
                <w:pPr>
                  <w:spacing w:before="720"/>
                  <w:contextualSpacing/>
                  <w:outlineLvl w:val="0"/>
                  <w:rPr>
                    <w:rFonts w:asciiTheme="majorHAnsi" w:eastAsiaTheme="majorEastAsia" w:hAnsiTheme="majorHAnsi" w:cstheme="majorBidi"/>
                    <w:color w:val="4F2D7D" w:themeColor="accent2"/>
                    <w:spacing w:val="5"/>
                    <w:kern w:val="28"/>
                    <w:sz w:val="72"/>
                    <w:szCs w:val="52"/>
                  </w:rPr>
                </w:pPr>
              </w:p>
            </w:tc>
          </w:tr>
          <w:tr w:rsidR="00687F39" w:rsidRPr="00C755AD" w:rsidTr="00C755AD">
            <w:tc>
              <w:tcPr>
                <w:tcW w:w="9242" w:type="dxa"/>
              </w:tcPr>
              <w:p w:rsidR="00A12B28" w:rsidRDefault="00A12B28" w:rsidP="00FE412B">
                <w:pPr>
                  <w:pStyle w:val="Title"/>
                </w:pPr>
                <w:r>
                  <w:t>Consultation Paper</w:t>
                </w:r>
              </w:p>
              <w:p w:rsidR="00A12B28" w:rsidRPr="00A12B28" w:rsidRDefault="00A12B28" w:rsidP="00A12B28"/>
              <w:p w:rsidR="00FE412B" w:rsidRPr="00A10606" w:rsidRDefault="00FE412B" w:rsidP="00FE412B">
                <w:pPr>
                  <w:pStyle w:val="Title"/>
                </w:pPr>
                <w:r w:rsidRPr="00A10606">
                  <w:t xml:space="preserve">International </w:t>
                </w:r>
                <w:r>
                  <w:t>s</w:t>
                </w:r>
                <w:r w:rsidRPr="00A10606">
                  <w:t xml:space="preserve">tandards </w:t>
                </w:r>
                <w:r w:rsidR="00A33783">
                  <w:t>associations:</w:t>
                </w:r>
                <w:r w:rsidR="00A33783" w:rsidRPr="00A10606">
                  <w:t xml:space="preserve"> </w:t>
                </w:r>
                <w:r w:rsidR="00406314">
                  <w:t>C</w:t>
                </w:r>
                <w:r w:rsidRPr="00A10606">
                  <w:t>onsumer product</w:t>
                </w:r>
                <w:r w:rsidR="00D74B49">
                  <w:t xml:space="preserve"> </w:t>
                </w:r>
                <w:r w:rsidR="00A33783" w:rsidRPr="00A10606">
                  <w:t>safety</w:t>
                </w:r>
              </w:p>
              <w:p w:rsidR="00687F39" w:rsidRPr="00C755AD" w:rsidRDefault="00687F39" w:rsidP="00303C4A">
                <w:pPr>
                  <w:pStyle w:val="Title"/>
                </w:pPr>
              </w:p>
            </w:tc>
          </w:tr>
          <w:tr w:rsidR="00687F39" w:rsidRPr="00C755AD" w:rsidTr="00C755AD">
            <w:tc>
              <w:tcPr>
                <w:tcW w:w="9242" w:type="dxa"/>
              </w:tcPr>
              <w:p w:rsidR="00687F39" w:rsidRPr="00C755AD" w:rsidRDefault="00FE412B" w:rsidP="00D74B49">
                <w:pPr>
                  <w:pStyle w:val="Subtitle"/>
                </w:pPr>
                <w:r w:rsidRPr="00A10606">
                  <w:t xml:space="preserve">ACCC </w:t>
                </w:r>
              </w:p>
            </w:tc>
          </w:tr>
          <w:tr w:rsidR="00687F39" w:rsidRPr="00C755AD" w:rsidTr="00C755AD">
            <w:tc>
              <w:tcPr>
                <w:tcW w:w="9242" w:type="dxa"/>
              </w:tcPr>
              <w:p w:rsidR="00687F39" w:rsidRPr="00C755AD" w:rsidRDefault="00687F39" w:rsidP="00303C4A"/>
              <w:p w:rsidR="00687F39" w:rsidRPr="00C755AD" w:rsidRDefault="00F54E5E" w:rsidP="00E45519">
                <w:pPr>
                  <w:pStyle w:val="CoverDate"/>
                </w:pPr>
                <w:r>
                  <w:rPr>
                    <w:color w:val="auto"/>
                  </w:rPr>
                  <w:t>9 May</w:t>
                </w:r>
                <w:r w:rsidR="00D74B49" w:rsidRPr="00DB077B">
                  <w:rPr>
                    <w:color w:val="auto"/>
                  </w:rPr>
                  <w:t xml:space="preserve"> 2016</w:t>
                </w:r>
                <w:r w:rsidR="00FE412B" w:rsidRPr="00DB077B">
                  <w:rPr>
                    <w:color w:val="auto"/>
                  </w:rPr>
                  <w:t xml:space="preserve"> </w:t>
                </w:r>
              </w:p>
            </w:tc>
          </w:tr>
        </w:tbl>
        <w:p w:rsidR="00687F39" w:rsidRPr="003B5A70" w:rsidRDefault="00687F39" w:rsidP="005E6C0E">
          <w:pPr>
            <w:tabs>
              <w:tab w:val="left" w:pos="340"/>
              <w:tab w:val="left" w:pos="680"/>
              <w:tab w:val="left" w:pos="1021"/>
              <w:tab w:val="left" w:pos="1361"/>
            </w:tabs>
          </w:pPr>
        </w:p>
        <w:p w:rsidR="00A10606" w:rsidRDefault="00687F39" w:rsidP="00A10606">
          <w:r>
            <w:br w:type="page"/>
          </w:r>
        </w:p>
      </w:sdtContent>
    </w:sdt>
    <w:p w:rsidR="00A10606" w:rsidRPr="00FE412B" w:rsidRDefault="00A10606" w:rsidP="00FE412B"/>
    <w:p w:rsidR="00A10606" w:rsidRPr="00FE412B" w:rsidRDefault="00A10606" w:rsidP="00FE412B">
      <w:bookmarkStart w:id="0" w:name="_Toc422737673"/>
    </w:p>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Pr="00FE412B" w:rsidRDefault="00A10606" w:rsidP="00FE412B"/>
    <w:p w:rsidR="00A10606" w:rsidRDefault="00A10606" w:rsidP="00FE412B"/>
    <w:p w:rsidR="00FE412B" w:rsidRDefault="00FE412B" w:rsidP="00FE412B"/>
    <w:p w:rsidR="00FE412B" w:rsidRDefault="00FE412B" w:rsidP="00FE412B"/>
    <w:p w:rsidR="00FE412B" w:rsidRDefault="00FE412B" w:rsidP="00FE412B"/>
    <w:p w:rsidR="00FE412B" w:rsidRDefault="00FE412B" w:rsidP="00FE412B"/>
    <w:p w:rsidR="00FE412B" w:rsidRDefault="00FE412B" w:rsidP="00FE412B"/>
    <w:p w:rsidR="00FE412B" w:rsidRDefault="00FE412B" w:rsidP="00FE412B"/>
    <w:p w:rsidR="00A10606" w:rsidRPr="00FE412B" w:rsidRDefault="00A10606" w:rsidP="00FE412B"/>
    <w:p w:rsidR="00A10606" w:rsidRPr="00A10606" w:rsidRDefault="00A10606" w:rsidP="00FE412B">
      <w:pPr>
        <w:pStyle w:val="Copyrighttext"/>
      </w:pPr>
      <w:r w:rsidRPr="00A10606">
        <w:t xml:space="preserve">Australian Competition and Consumer Commission </w:t>
      </w:r>
      <w:r w:rsidRPr="00A10606">
        <w:br/>
        <w:t xml:space="preserve">23 Marcus Clarke Street, Canberra, Australian Capital Territory, 2601 </w:t>
      </w:r>
    </w:p>
    <w:p w:rsidR="00A10606" w:rsidRPr="00A10606" w:rsidRDefault="00A10606" w:rsidP="00FE412B">
      <w:pPr>
        <w:pStyle w:val="Copyrighttext"/>
      </w:pPr>
      <w:r w:rsidRPr="00A10606">
        <w:t>© Commonwealth of Australia 201</w:t>
      </w:r>
      <w:r w:rsidR="00973D8D">
        <w:t>6</w:t>
      </w:r>
    </w:p>
    <w:p w:rsidR="00A10606" w:rsidRPr="00A10606" w:rsidRDefault="00A10606" w:rsidP="00FE412B">
      <w:pPr>
        <w:pStyle w:val="Copyrighttext"/>
      </w:pPr>
      <w:r w:rsidRPr="00A10606">
        <w:t xml:space="preserve">This work is copyright. In addition to any use permitted under the </w:t>
      </w:r>
      <w:r w:rsidRPr="00A10606">
        <w:rPr>
          <w:i/>
          <w:iCs/>
        </w:rPr>
        <w:t>Copyright Act 1968</w:t>
      </w:r>
      <w:r w:rsidRPr="00A10606">
        <w:t xml:space="preserve">, all material contained within this work is provided under a Creative Commons Attribution 3.0 Australia licence, with the exception </w:t>
      </w:r>
    </w:p>
    <w:p w:rsidR="00A10606" w:rsidRPr="00276280" w:rsidRDefault="00A10606" w:rsidP="00276280">
      <w:pPr>
        <w:pStyle w:val="Copyrighttext"/>
        <w:numPr>
          <w:ilvl w:val="0"/>
          <w:numId w:val="36"/>
        </w:numPr>
      </w:pPr>
      <w:r w:rsidRPr="00276280">
        <w:t xml:space="preserve">the Commonwealth Coat of Arms </w:t>
      </w:r>
    </w:p>
    <w:p w:rsidR="00FE412B" w:rsidRPr="00276280" w:rsidRDefault="00A10606" w:rsidP="00276280">
      <w:pPr>
        <w:pStyle w:val="Copyrighttext"/>
        <w:numPr>
          <w:ilvl w:val="0"/>
          <w:numId w:val="36"/>
        </w:numPr>
      </w:pPr>
      <w:r w:rsidRPr="00276280">
        <w:t>the ACCC and AER logos and any</w:t>
      </w:r>
    </w:p>
    <w:p w:rsidR="00A10606" w:rsidRPr="00A10606" w:rsidRDefault="00A10606" w:rsidP="00276280">
      <w:pPr>
        <w:pStyle w:val="Copyrighttext"/>
        <w:numPr>
          <w:ilvl w:val="0"/>
          <w:numId w:val="36"/>
        </w:numPr>
      </w:pPr>
      <w:r w:rsidRPr="00276280">
        <w:t>illustration, diagram, photograph or graphic over which the Australian Competition and Consumer Commission does not hold copyright, but which may be part of or contained within this publication.</w:t>
      </w:r>
    </w:p>
    <w:p w:rsidR="00A10606" w:rsidRDefault="00A10606" w:rsidP="00FE412B">
      <w:pPr>
        <w:pStyle w:val="Copyrighttext"/>
      </w:pPr>
      <w:r w:rsidRPr="00A10606">
        <w:t xml:space="preserve">The details of the relevant licence conditions are available on the Creative Commons website, as is the full legal code for the CC BY 3.0 AU licence. Requests and inquiries concerning reproduction and rights should be addressed to the Director, Corporate Communications, ACCC, GPO Box 3131, Canberra ACT 2601, or </w:t>
      </w:r>
      <w:hyperlink r:id="rId11" w:history="1">
        <w:r w:rsidRPr="00FE412B">
          <w:rPr>
            <w:rStyle w:val="Hyperlink"/>
            <w:sz w:val="16"/>
          </w:rPr>
          <w:t>publishing.unit@accc.gov.au</w:t>
        </w:r>
      </w:hyperlink>
      <w:r w:rsidRPr="00FE412B">
        <w:t>.</w:t>
      </w:r>
    </w:p>
    <w:p w:rsidR="00E83BED" w:rsidRPr="00A10606" w:rsidRDefault="00A10606" w:rsidP="00E83BED">
      <w:pPr>
        <w:pStyle w:val="Numbered1"/>
      </w:pPr>
      <w:r w:rsidRPr="00A10606">
        <w:br w:type="page"/>
      </w:r>
      <w:bookmarkStart w:id="1" w:name="_Toc448760751"/>
      <w:bookmarkEnd w:id="0"/>
      <w:r w:rsidR="00E83BED">
        <w:lastRenderedPageBreak/>
        <w:t>Overview and b</w:t>
      </w:r>
      <w:r w:rsidR="00491CA2">
        <w:t>ackground</w:t>
      </w:r>
      <w:bookmarkEnd w:id="1"/>
      <w:r w:rsidR="00E83BED" w:rsidRPr="00A10606">
        <w:t xml:space="preserve"> </w:t>
      </w:r>
    </w:p>
    <w:p w:rsidR="00A10606" w:rsidRPr="00A10606" w:rsidRDefault="00A10606" w:rsidP="00276280">
      <w:r w:rsidRPr="00A10606">
        <w:t xml:space="preserve">The Australian Competition and Consumer Commission (ACCC) is an independent Commonwealth statutory authority that enforces the </w:t>
      </w:r>
      <w:r w:rsidRPr="00A10606">
        <w:rPr>
          <w:i/>
        </w:rPr>
        <w:t>Competition and Consumer Act 2010</w:t>
      </w:r>
      <w:r w:rsidRPr="00A10606">
        <w:t xml:space="preserve">, including the Australian Consumer Law, to enhance the welfare of Australians by promoting fair trading and competition and through the provision of consumer protection. </w:t>
      </w:r>
    </w:p>
    <w:p w:rsidR="00A10606" w:rsidRPr="00A10606" w:rsidRDefault="00A10606" w:rsidP="00276280">
      <w:r w:rsidRPr="00A10606">
        <w:t xml:space="preserve">The Australian Consumer Law </w:t>
      </w:r>
      <w:r w:rsidR="00FD1292">
        <w:t xml:space="preserve">(ACL) </w:t>
      </w:r>
      <w:r w:rsidRPr="00A10606">
        <w:t xml:space="preserve">empowers the Commonwealth Minister to </w:t>
      </w:r>
      <w:r w:rsidR="00E71552" w:rsidRPr="00A10606">
        <w:t xml:space="preserve">ban a product or to </w:t>
      </w:r>
      <w:r w:rsidRPr="00A10606">
        <w:t>make a</w:t>
      </w:r>
      <w:r w:rsidR="00E71552">
        <w:t>n</w:t>
      </w:r>
      <w:r w:rsidRPr="00A10606">
        <w:t xml:space="preserve"> </w:t>
      </w:r>
      <w:r w:rsidR="00E71552">
        <w:t>enforceable</w:t>
      </w:r>
      <w:r w:rsidR="009A07EB">
        <w:t xml:space="preserve"> </w:t>
      </w:r>
      <w:r w:rsidRPr="00A10606">
        <w:t xml:space="preserve">safety standard. </w:t>
      </w:r>
      <w:r w:rsidR="00E71552">
        <w:t>Enforceable s</w:t>
      </w:r>
      <w:r w:rsidR="00FD1292">
        <w:t>afety</w:t>
      </w:r>
      <w:r w:rsidRPr="00A10606">
        <w:t xml:space="preserve"> standards are often based on voluntary Australian or international standards. The ACCC and state and territory </w:t>
      </w:r>
      <w:r w:rsidR="00977258">
        <w:t>ACL</w:t>
      </w:r>
      <w:r w:rsidRPr="00A10606">
        <w:t xml:space="preserve"> regulators enforce th</w:t>
      </w:r>
      <w:r w:rsidR="00E71552">
        <w:t>es</w:t>
      </w:r>
      <w:r w:rsidRPr="00A10606">
        <w:t xml:space="preserve">e </w:t>
      </w:r>
      <w:r w:rsidR="00FD1292">
        <w:t>safety</w:t>
      </w:r>
      <w:r w:rsidRPr="00A10606">
        <w:t xml:space="preserve"> standards specifically directed at consumer goods. This is different to electrical safety, industrial goods, building products or other goods where specialist regulatory frameworks apply.</w:t>
      </w:r>
    </w:p>
    <w:p w:rsidR="00491CA2" w:rsidRDefault="00491CA2" w:rsidP="00491CA2">
      <w:pPr>
        <w:pStyle w:val="Bulletpoint"/>
        <w:numPr>
          <w:ilvl w:val="0"/>
          <w:numId w:val="0"/>
        </w:numPr>
        <w:tabs>
          <w:tab w:val="clear" w:pos="340"/>
          <w:tab w:val="left" w:pos="0"/>
        </w:tabs>
      </w:pPr>
      <w:bookmarkStart w:id="2" w:name="_Toc422737684"/>
      <w:r>
        <w:t xml:space="preserve">Under </w:t>
      </w:r>
      <w:r w:rsidR="00FD1292">
        <w:t>s</w:t>
      </w:r>
      <w:r>
        <w:t>ection 105 of the ACL</w:t>
      </w:r>
      <w:r w:rsidR="00FD1292">
        <w:t>,</w:t>
      </w:r>
      <w:r>
        <w:t xml:space="preserve"> the Minister </w:t>
      </w:r>
      <w:r w:rsidR="007C2AA0" w:rsidRPr="00A10606">
        <w:t xml:space="preserve">for Small Business </w:t>
      </w:r>
      <w:r w:rsidR="007C2AA0">
        <w:t xml:space="preserve">and Assistant Treasurer </w:t>
      </w:r>
      <w:r>
        <w:t xml:space="preserve">may </w:t>
      </w:r>
      <w:r w:rsidR="00286FC1">
        <w:t>‘</w:t>
      </w:r>
      <w:r>
        <w:t>declare</w:t>
      </w:r>
      <w:r w:rsidR="00286FC1">
        <w:t xml:space="preserve">’ </w:t>
      </w:r>
      <w:r>
        <w:t xml:space="preserve">a voluntary standard prepared by Standards Australia, or by another association </w:t>
      </w:r>
      <w:r w:rsidR="00FD1292">
        <w:t xml:space="preserve">prescribed </w:t>
      </w:r>
      <w:r w:rsidR="007C2AA0">
        <w:t>in</w:t>
      </w:r>
      <w:r w:rsidR="00FD1292">
        <w:t xml:space="preserve"> the regulations</w:t>
      </w:r>
      <w:r w:rsidR="009A07EB">
        <w:t>, to be a</w:t>
      </w:r>
      <w:r w:rsidR="00E71552">
        <w:t>n</w:t>
      </w:r>
      <w:r w:rsidR="009A07EB">
        <w:t xml:space="preserve"> </w:t>
      </w:r>
      <w:r w:rsidR="00E71552">
        <w:t>enforceable</w:t>
      </w:r>
      <w:r w:rsidR="009A07EB">
        <w:t xml:space="preserve"> </w:t>
      </w:r>
      <w:r w:rsidR="009C1F32">
        <w:t xml:space="preserve">safety </w:t>
      </w:r>
      <w:r w:rsidR="009A07EB">
        <w:t>standard</w:t>
      </w:r>
      <w:r w:rsidR="00FD1292">
        <w:t>. The regulations do not currently prescribe any</w:t>
      </w:r>
      <w:r>
        <w:t xml:space="preserve"> standards associations </w:t>
      </w:r>
      <w:r w:rsidR="00591089">
        <w:t xml:space="preserve">so </w:t>
      </w:r>
      <w:r w:rsidR="007C2AA0">
        <w:t>the Minister</w:t>
      </w:r>
      <w:r w:rsidR="00591089">
        <w:t xml:space="preserve"> cannot </w:t>
      </w:r>
      <w:r w:rsidR="007C2AA0">
        <w:t>declare</w:t>
      </w:r>
      <w:r w:rsidR="00591089">
        <w:t xml:space="preserve"> </w:t>
      </w:r>
      <w:r w:rsidR="00E61346">
        <w:t xml:space="preserve">a </w:t>
      </w:r>
      <w:r w:rsidR="00591089">
        <w:t>standard made by any organisation other than Standards Australia</w:t>
      </w:r>
      <w:r>
        <w:t>.</w:t>
      </w:r>
    </w:p>
    <w:p w:rsidR="00491CA2" w:rsidRDefault="00491CA2" w:rsidP="00491CA2">
      <w:pPr>
        <w:pStyle w:val="Bulletpoint"/>
        <w:numPr>
          <w:ilvl w:val="0"/>
          <w:numId w:val="0"/>
        </w:numPr>
        <w:tabs>
          <w:tab w:val="clear" w:pos="340"/>
          <w:tab w:val="left" w:pos="0"/>
        </w:tabs>
      </w:pPr>
      <w:r>
        <w:t xml:space="preserve">The purpose of this paper is to </w:t>
      </w:r>
      <w:r w:rsidR="00315EE8">
        <w:t xml:space="preserve">seek the views </w:t>
      </w:r>
      <w:r w:rsidR="00140979">
        <w:t xml:space="preserve">of </w:t>
      </w:r>
      <w:r w:rsidR="00315EE8">
        <w:t xml:space="preserve">stakeholders </w:t>
      </w:r>
      <w:r w:rsidR="00140979">
        <w:t xml:space="preserve">on </w:t>
      </w:r>
      <w:r w:rsidR="00DB077B">
        <w:t xml:space="preserve">what </w:t>
      </w:r>
      <w:r w:rsidR="00315EE8">
        <w:t>a</w:t>
      </w:r>
      <w:r w:rsidR="005D4C34">
        <w:t>ssociations</w:t>
      </w:r>
      <w:r w:rsidR="00315EE8">
        <w:t xml:space="preserve"> </w:t>
      </w:r>
      <w:r w:rsidR="00DB077B">
        <w:t xml:space="preserve">the ACCC should advise </w:t>
      </w:r>
      <w:r w:rsidR="00EA2121">
        <w:t xml:space="preserve">the </w:t>
      </w:r>
      <w:r w:rsidR="00DB077B">
        <w:t xml:space="preserve">Minister </w:t>
      </w:r>
      <w:r w:rsidR="00315EE8">
        <w:t xml:space="preserve">to include in </w:t>
      </w:r>
      <w:r w:rsidR="00DB077B">
        <w:t xml:space="preserve">the </w:t>
      </w:r>
      <w:r w:rsidR="00315EE8">
        <w:t>regulation.</w:t>
      </w:r>
      <w:r>
        <w:t xml:space="preserve"> </w:t>
      </w:r>
    </w:p>
    <w:p w:rsidR="009B41E1" w:rsidRDefault="00591089" w:rsidP="00591089">
      <w:pPr>
        <w:pStyle w:val="Bulletpoint"/>
        <w:numPr>
          <w:ilvl w:val="0"/>
          <w:numId w:val="0"/>
        </w:numPr>
      </w:pPr>
      <w:r>
        <w:t>Inclu</w:t>
      </w:r>
      <w:r w:rsidR="00977258">
        <w:t>ding</w:t>
      </w:r>
      <w:r>
        <w:t xml:space="preserve"> </w:t>
      </w:r>
      <w:r w:rsidR="00315EE8">
        <w:t>an association in the</w:t>
      </w:r>
      <w:r w:rsidR="00491CA2">
        <w:t xml:space="preserve"> regulation would enable </w:t>
      </w:r>
      <w:r>
        <w:t xml:space="preserve">the Minister to </w:t>
      </w:r>
      <w:r w:rsidR="00193791">
        <w:t xml:space="preserve">choose to </w:t>
      </w:r>
      <w:r w:rsidR="009B41E1">
        <w:t xml:space="preserve">declare </w:t>
      </w:r>
      <w:r>
        <w:t>a standard made by th</w:t>
      </w:r>
      <w:r w:rsidR="007C2AA0">
        <w:t>at</w:t>
      </w:r>
      <w:r w:rsidR="009B41E1">
        <w:t xml:space="preserve"> </w:t>
      </w:r>
      <w:r>
        <w:t>association to be a</w:t>
      </w:r>
      <w:r w:rsidR="00E71552">
        <w:t>n</w:t>
      </w:r>
      <w:r>
        <w:t xml:space="preserve"> </w:t>
      </w:r>
      <w:r w:rsidR="00E71552">
        <w:t>enforceable</w:t>
      </w:r>
      <w:r w:rsidR="009A07EB">
        <w:t xml:space="preserve"> </w:t>
      </w:r>
      <w:r>
        <w:t>safety standard.</w:t>
      </w:r>
      <w:r w:rsidR="009B41E1">
        <w:t xml:space="preserve"> </w:t>
      </w:r>
      <w:r w:rsidR="00977258">
        <w:t>This is not an automatic process.</w:t>
      </w:r>
      <w:r w:rsidR="009B41E1">
        <w:t xml:space="preserve"> </w:t>
      </w:r>
      <w:r w:rsidR="009A07EB">
        <w:t>A</w:t>
      </w:r>
      <w:r w:rsidR="007C2AA0">
        <w:t xml:space="preserve"> standard published by a</w:t>
      </w:r>
      <w:r w:rsidR="00977258">
        <w:t>n association listed</w:t>
      </w:r>
      <w:r>
        <w:t xml:space="preserve"> </w:t>
      </w:r>
      <w:r w:rsidR="00977258">
        <w:t xml:space="preserve">in the regulation </w:t>
      </w:r>
      <w:r>
        <w:t xml:space="preserve">would not </w:t>
      </w:r>
      <w:r w:rsidR="00977258">
        <w:t>have</w:t>
      </w:r>
      <w:r w:rsidR="00315EE8">
        <w:t xml:space="preserve"> a special status</w:t>
      </w:r>
      <w:r w:rsidR="005E76E6">
        <w:t xml:space="preserve"> unless </w:t>
      </w:r>
      <w:r w:rsidR="00E71552">
        <w:t xml:space="preserve">it was </w:t>
      </w:r>
      <w:r w:rsidR="005E76E6">
        <w:t>later declared to be a</w:t>
      </w:r>
      <w:r w:rsidR="00E71552">
        <w:t>n</w:t>
      </w:r>
      <w:r w:rsidR="009A07EB">
        <w:t xml:space="preserve"> </w:t>
      </w:r>
      <w:r w:rsidR="00E71552">
        <w:t>enforceable</w:t>
      </w:r>
      <w:r w:rsidR="005E76E6">
        <w:t xml:space="preserve"> safety standard</w:t>
      </w:r>
      <w:r>
        <w:t xml:space="preserve">. </w:t>
      </w:r>
    </w:p>
    <w:p w:rsidR="00491CA2" w:rsidRDefault="00621978" w:rsidP="00591089">
      <w:pPr>
        <w:pStyle w:val="Bulletpoint"/>
        <w:numPr>
          <w:ilvl w:val="0"/>
          <w:numId w:val="0"/>
        </w:numPr>
      </w:pPr>
      <w:r w:rsidRPr="00621978">
        <w:t>The process for making a</w:t>
      </w:r>
      <w:r w:rsidR="00E71552">
        <w:t>n</w:t>
      </w:r>
      <w:r w:rsidRPr="00621978">
        <w:t xml:space="preserve"> </w:t>
      </w:r>
      <w:r w:rsidR="00E71552">
        <w:t>enforceable</w:t>
      </w:r>
      <w:r w:rsidR="009A07EB">
        <w:t xml:space="preserve"> </w:t>
      </w:r>
      <w:r w:rsidRPr="00621978">
        <w:t>safety standard would not change</w:t>
      </w:r>
      <w:r>
        <w:t>.</w:t>
      </w:r>
      <w:r w:rsidRPr="00621978">
        <w:t xml:space="preserve"> </w:t>
      </w:r>
      <w:r w:rsidR="00977258">
        <w:t xml:space="preserve">The ACCC would continue to develop </w:t>
      </w:r>
      <w:r w:rsidR="00E71552">
        <w:t>enforceable</w:t>
      </w:r>
      <w:r w:rsidR="009A07EB">
        <w:t xml:space="preserve"> </w:t>
      </w:r>
      <w:r w:rsidR="00977258">
        <w:t>s</w:t>
      </w:r>
      <w:r w:rsidR="00491CA2">
        <w:t>afety standards accord</w:t>
      </w:r>
      <w:r w:rsidR="00977258">
        <w:t>ing to</w:t>
      </w:r>
      <w:r w:rsidR="00491CA2">
        <w:t xml:space="preserve"> the Australian Government Guide to Regulation</w:t>
      </w:r>
      <w:r w:rsidR="00140979">
        <w:t>,</w:t>
      </w:r>
      <w:r w:rsidR="00491CA2">
        <w:t xml:space="preserve"> </w:t>
      </w:r>
      <w:r w:rsidR="00977258">
        <w:t>with</w:t>
      </w:r>
      <w:r w:rsidR="00491CA2">
        <w:t xml:space="preserve"> </w:t>
      </w:r>
      <w:r w:rsidR="00286FC1">
        <w:t xml:space="preserve">public </w:t>
      </w:r>
      <w:r w:rsidR="00491CA2">
        <w:t xml:space="preserve">consultation </w:t>
      </w:r>
      <w:r w:rsidR="00286FC1">
        <w:t>using a</w:t>
      </w:r>
      <w:r w:rsidR="00491CA2">
        <w:t xml:space="preserve"> dr</w:t>
      </w:r>
      <w:r w:rsidR="00286FC1">
        <w:t>aft Regulation Impact Statement</w:t>
      </w:r>
      <w:r>
        <w:t xml:space="preserve"> (RIS)</w:t>
      </w:r>
      <w:r w:rsidR="00140979">
        <w:t xml:space="preserve">. </w:t>
      </w:r>
      <w:r w:rsidR="00977258">
        <w:t xml:space="preserve">The final </w:t>
      </w:r>
      <w:r>
        <w:t>RIS</w:t>
      </w:r>
      <w:r w:rsidR="00977258">
        <w:t xml:space="preserve"> then forms the basis of the</w:t>
      </w:r>
      <w:r w:rsidR="00140979">
        <w:t xml:space="preserve"> </w:t>
      </w:r>
      <w:r w:rsidR="00286FC1">
        <w:t xml:space="preserve">ACCC </w:t>
      </w:r>
      <w:r w:rsidR="004321ED">
        <w:t xml:space="preserve">advice to the </w:t>
      </w:r>
      <w:r w:rsidR="00286FC1">
        <w:t>Minister</w:t>
      </w:r>
      <w:r w:rsidR="00977258">
        <w:t>, and her</w:t>
      </w:r>
      <w:r w:rsidR="004321ED">
        <w:t xml:space="preserve"> decision</w:t>
      </w:r>
      <w:r w:rsidR="00977258">
        <w:t xml:space="preserve"> about any </w:t>
      </w:r>
      <w:r w:rsidR="00E71552">
        <w:t>enforceable</w:t>
      </w:r>
      <w:r w:rsidR="009A07EB">
        <w:t xml:space="preserve"> </w:t>
      </w:r>
      <w:r w:rsidR="00977258">
        <w:t>safety standard</w:t>
      </w:r>
      <w:r w:rsidR="004321ED">
        <w:t>.</w:t>
      </w:r>
      <w:r w:rsidR="00491CA2">
        <w:t xml:space="preserve">  </w:t>
      </w:r>
    </w:p>
    <w:p w:rsidR="00491CA2" w:rsidRDefault="00977258" w:rsidP="00491CA2">
      <w:pPr>
        <w:pStyle w:val="Bulletpoint"/>
        <w:numPr>
          <w:ilvl w:val="0"/>
          <w:numId w:val="0"/>
        </w:numPr>
      </w:pPr>
      <w:r>
        <w:t>Accepting</w:t>
      </w:r>
      <w:r w:rsidR="00491CA2">
        <w:t xml:space="preserve"> </w:t>
      </w:r>
      <w:r>
        <w:t>trusted</w:t>
      </w:r>
      <w:r w:rsidR="00491CA2">
        <w:t xml:space="preserve"> international standards</w:t>
      </w:r>
      <w:r w:rsidR="00554D7E">
        <w:t>, unless there is a good reason not to,</w:t>
      </w:r>
      <w:r w:rsidR="00491CA2">
        <w:t xml:space="preserve"> is consistent with published ACCC policy. In 2015, the ACCC publish</w:t>
      </w:r>
      <w:r w:rsidR="00554D7E">
        <w:t>ed</w:t>
      </w:r>
      <w:r w:rsidR="00491CA2">
        <w:t xml:space="preserve"> criteria for trusted international standards</w:t>
      </w:r>
      <w:r w:rsidR="00140979">
        <w:t>. Th</w:t>
      </w:r>
      <w:r w:rsidR="00E56576">
        <w:t>e</w:t>
      </w:r>
      <w:r w:rsidR="00140979">
        <w:t xml:space="preserve"> </w:t>
      </w:r>
      <w:r w:rsidR="00E56576">
        <w:t>criteria</w:t>
      </w:r>
      <w:r w:rsidR="00491CA2">
        <w:t xml:space="preserve"> </w:t>
      </w:r>
      <w:r w:rsidR="00E56576">
        <w:t>are</w:t>
      </w:r>
      <w:r w:rsidR="00491CA2">
        <w:t xml:space="preserve"> </w:t>
      </w:r>
      <w:r w:rsidR="00E56576">
        <w:t>available</w:t>
      </w:r>
      <w:r w:rsidR="00491CA2">
        <w:t xml:space="preserve"> on </w:t>
      </w:r>
      <w:r w:rsidR="00554D7E">
        <w:t>the</w:t>
      </w:r>
      <w:r w:rsidR="00491CA2">
        <w:t xml:space="preserve"> Product Safety Australia website.</w:t>
      </w:r>
      <w:r w:rsidR="00491CA2">
        <w:rPr>
          <w:rStyle w:val="FootnoteReference"/>
        </w:rPr>
        <w:footnoteReference w:id="1"/>
      </w:r>
      <w:r w:rsidR="00491CA2">
        <w:t xml:space="preserve"> </w:t>
      </w:r>
    </w:p>
    <w:p w:rsidR="00CD5E74" w:rsidRDefault="00491CA2" w:rsidP="00491CA2">
      <w:pPr>
        <w:pStyle w:val="Bulletpoint"/>
        <w:numPr>
          <w:ilvl w:val="0"/>
          <w:numId w:val="0"/>
        </w:numPr>
      </w:pPr>
      <w:r>
        <w:t>Us</w:t>
      </w:r>
      <w:r w:rsidR="00CD5E74">
        <w:t>ing</w:t>
      </w:r>
      <w:r>
        <w:t xml:space="preserve"> </w:t>
      </w:r>
      <w:r w:rsidR="00CD5E74">
        <w:t>trusted</w:t>
      </w:r>
      <w:r>
        <w:t xml:space="preserve"> international standards for product safety regulation can </w:t>
      </w:r>
      <w:r w:rsidR="00CD5E74">
        <w:t>be better for Australian consumers and for</w:t>
      </w:r>
      <w:r>
        <w:t xml:space="preserve"> the </w:t>
      </w:r>
      <w:r w:rsidR="00CD5E74">
        <w:t xml:space="preserve">Australian </w:t>
      </w:r>
      <w:r>
        <w:t>market</w:t>
      </w:r>
      <w:r w:rsidR="00CD5E74">
        <w:t>.</w:t>
      </w:r>
      <w:r>
        <w:t xml:space="preserve"> </w:t>
      </w:r>
      <w:r w:rsidR="005E2B55">
        <w:t xml:space="preserve">It </w:t>
      </w:r>
      <w:r w:rsidR="00CD5E74">
        <w:t xml:space="preserve">can make it </w:t>
      </w:r>
      <w:r>
        <w:t xml:space="preserve">easier for global suppliers to comply with </w:t>
      </w:r>
      <w:r w:rsidR="00CD5E74">
        <w:t xml:space="preserve">Australian </w:t>
      </w:r>
      <w:r>
        <w:t xml:space="preserve">safety requirements and </w:t>
      </w:r>
      <w:r w:rsidR="00CD5E74">
        <w:t>reduce</w:t>
      </w:r>
      <w:r>
        <w:t xml:space="preserve"> barriers to trade.</w:t>
      </w:r>
    </w:p>
    <w:p w:rsidR="00491CA2" w:rsidRDefault="00491CA2" w:rsidP="00491CA2">
      <w:pPr>
        <w:pStyle w:val="Bulletpoint"/>
        <w:numPr>
          <w:ilvl w:val="0"/>
          <w:numId w:val="0"/>
        </w:numPr>
      </w:pPr>
      <w:r>
        <w:t xml:space="preserve">The </w:t>
      </w:r>
      <w:r w:rsidR="00CD5E74">
        <w:t>standards associations</w:t>
      </w:r>
      <w:r>
        <w:t xml:space="preserve"> under consideration are from comparable jurisdictions</w:t>
      </w:r>
      <w:r w:rsidR="00CD5E74">
        <w:t>, publish standards</w:t>
      </w:r>
      <w:r>
        <w:t xml:space="preserve"> in English, and </w:t>
      </w:r>
      <w:r w:rsidR="00CD5E74">
        <w:t xml:space="preserve">are likely to </w:t>
      </w:r>
      <w:r>
        <w:t xml:space="preserve">be acceptable to stakeholders. </w:t>
      </w:r>
    </w:p>
    <w:p w:rsidR="00491CA2" w:rsidRPr="0023553B" w:rsidRDefault="00491CA2" w:rsidP="00491CA2">
      <w:pPr>
        <w:pStyle w:val="Bulletpoint"/>
        <w:numPr>
          <w:ilvl w:val="0"/>
          <w:numId w:val="0"/>
        </w:numPr>
      </w:pPr>
      <w:r w:rsidRPr="0023553B">
        <w:t xml:space="preserve">The Office of Best Practice Regulation has </w:t>
      </w:r>
      <w:r w:rsidR="005E2B55">
        <w:t>indicated</w:t>
      </w:r>
      <w:r w:rsidRPr="0023553B">
        <w:t xml:space="preserve"> that the development of this list of </w:t>
      </w:r>
      <w:r w:rsidR="009B4CD5">
        <w:t>associations</w:t>
      </w:r>
      <w:r w:rsidR="009B4CD5" w:rsidRPr="0023553B">
        <w:t xml:space="preserve"> </w:t>
      </w:r>
      <w:r w:rsidRPr="0023553B">
        <w:t>and preparation of the regulation is a minor or machinery change and does not require a Regulation Impact Statement.</w:t>
      </w:r>
    </w:p>
    <w:p w:rsidR="00A10606" w:rsidRPr="00A10606" w:rsidRDefault="00A10606" w:rsidP="00FE412B">
      <w:pPr>
        <w:pStyle w:val="Numbered1"/>
      </w:pPr>
      <w:bookmarkStart w:id="3" w:name="_Toc448760752"/>
      <w:r w:rsidRPr="00A10606">
        <w:t>Criteria</w:t>
      </w:r>
      <w:bookmarkEnd w:id="2"/>
      <w:r w:rsidR="00296EC9">
        <w:t xml:space="preserve"> for listing standards associations</w:t>
      </w:r>
      <w:bookmarkEnd w:id="3"/>
      <w:r w:rsidRPr="00A10606">
        <w:t xml:space="preserve"> </w:t>
      </w:r>
    </w:p>
    <w:p w:rsidR="00A10606" w:rsidRDefault="00A10606" w:rsidP="00A10606">
      <w:r w:rsidRPr="00A10606">
        <w:t xml:space="preserve">The </w:t>
      </w:r>
      <w:r w:rsidR="00FD1292">
        <w:t xml:space="preserve">ACCC applies </w:t>
      </w:r>
      <w:r w:rsidR="009B452D">
        <w:t>its</w:t>
      </w:r>
      <w:r w:rsidR="00FD1292">
        <w:t xml:space="preserve"> </w:t>
      </w:r>
      <w:r w:rsidR="00140979" w:rsidRPr="00A10606">
        <w:t xml:space="preserve">criteria </w:t>
      </w:r>
      <w:r w:rsidR="009B452D" w:rsidRPr="00A10606">
        <w:t xml:space="preserve">for </w:t>
      </w:r>
      <w:r w:rsidR="009B452D">
        <w:t>trusted</w:t>
      </w:r>
      <w:r w:rsidR="009B452D" w:rsidRPr="00A10606">
        <w:t xml:space="preserve"> international standards </w:t>
      </w:r>
      <w:r w:rsidRPr="00A10606">
        <w:t>on a case by case basis</w:t>
      </w:r>
      <w:r w:rsidR="009B452D">
        <w:t>.</w:t>
      </w:r>
      <w:r w:rsidRPr="00A10606">
        <w:t xml:space="preserve"> </w:t>
      </w:r>
      <w:r w:rsidR="009B452D">
        <w:t>A</w:t>
      </w:r>
      <w:r w:rsidR="00E71552">
        <w:t>n</w:t>
      </w:r>
      <w:r w:rsidR="00FD1292" w:rsidRPr="00A10606">
        <w:t xml:space="preserve"> </w:t>
      </w:r>
      <w:r w:rsidR="00E71552">
        <w:t>enforceable</w:t>
      </w:r>
      <w:r w:rsidR="009A07EB">
        <w:t xml:space="preserve"> </w:t>
      </w:r>
      <w:r w:rsidR="00FD1292">
        <w:t>safety</w:t>
      </w:r>
      <w:r w:rsidR="00FD1292" w:rsidRPr="00A10606">
        <w:t xml:space="preserve"> standard may reference </w:t>
      </w:r>
      <w:r w:rsidRPr="00A10606">
        <w:t>more than one inter</w:t>
      </w:r>
      <w:r w:rsidR="00FD1292">
        <w:t>national or Australian standard</w:t>
      </w:r>
      <w:r w:rsidR="009B452D">
        <w:t xml:space="preserve"> and t</w:t>
      </w:r>
      <w:r w:rsidRPr="00A10606">
        <w:t xml:space="preserve">here may be occasions where international standards are unsuitable and where only an Australian standard (if one exists) is suitable. </w:t>
      </w:r>
    </w:p>
    <w:p w:rsidR="00B51925" w:rsidRDefault="00B51925" w:rsidP="00296EC9">
      <w:pPr>
        <w:pStyle w:val="Bulletpoint"/>
        <w:numPr>
          <w:ilvl w:val="0"/>
          <w:numId w:val="0"/>
        </w:numPr>
        <w:tabs>
          <w:tab w:val="clear" w:pos="340"/>
          <w:tab w:val="left" w:pos="0"/>
        </w:tabs>
      </w:pPr>
      <w:r>
        <w:lastRenderedPageBreak/>
        <w:t xml:space="preserve">The </w:t>
      </w:r>
      <w:r w:rsidR="009B452D">
        <w:t xml:space="preserve">proposed </w:t>
      </w:r>
      <w:r>
        <w:t xml:space="preserve">international associations </w:t>
      </w:r>
      <w:r w:rsidR="00FD1292">
        <w:t xml:space="preserve">publish </w:t>
      </w:r>
      <w:r>
        <w:t>standards th</w:t>
      </w:r>
      <w:r w:rsidR="00FD1292">
        <w:t>at</w:t>
      </w:r>
      <w:r>
        <w:t>:</w:t>
      </w:r>
    </w:p>
    <w:p w:rsidR="00B51925" w:rsidRPr="009B452D" w:rsidRDefault="00FD1292" w:rsidP="00B51925">
      <w:pPr>
        <w:pStyle w:val="Heading2"/>
        <w:numPr>
          <w:ilvl w:val="0"/>
          <w:numId w:val="38"/>
        </w:numPr>
        <w:rPr>
          <w:b w:val="0"/>
          <w:color w:val="auto"/>
          <w:sz w:val="22"/>
          <w:szCs w:val="22"/>
        </w:rPr>
      </w:pPr>
      <w:bookmarkStart w:id="4" w:name="_Toc448760759"/>
      <w:proofErr w:type="gramStart"/>
      <w:r w:rsidRPr="009B452D">
        <w:rPr>
          <w:b w:val="0"/>
          <w:color w:val="auto"/>
          <w:sz w:val="22"/>
          <w:szCs w:val="22"/>
        </w:rPr>
        <w:t>are</w:t>
      </w:r>
      <w:proofErr w:type="gramEnd"/>
      <w:r w:rsidR="00B51925" w:rsidRPr="009B452D">
        <w:rPr>
          <w:b w:val="0"/>
          <w:color w:val="auto"/>
          <w:sz w:val="22"/>
          <w:szCs w:val="22"/>
        </w:rPr>
        <w:t xml:space="preserve"> readily available and accessible in English</w:t>
      </w:r>
      <w:bookmarkEnd w:id="4"/>
    </w:p>
    <w:p w:rsidR="00B51925" w:rsidRPr="009B452D" w:rsidRDefault="00FD1292" w:rsidP="009B452D">
      <w:pPr>
        <w:pStyle w:val="Heading2"/>
        <w:numPr>
          <w:ilvl w:val="0"/>
          <w:numId w:val="38"/>
        </w:numPr>
        <w:rPr>
          <w:b w:val="0"/>
          <w:color w:val="auto"/>
          <w:sz w:val="22"/>
          <w:szCs w:val="22"/>
        </w:rPr>
      </w:pPr>
      <w:bookmarkStart w:id="5" w:name="_Toc448760760"/>
      <w:proofErr w:type="gramStart"/>
      <w:r w:rsidRPr="009B452D">
        <w:rPr>
          <w:b w:val="0"/>
          <w:color w:val="auto"/>
          <w:sz w:val="22"/>
          <w:szCs w:val="22"/>
        </w:rPr>
        <w:t>are</w:t>
      </w:r>
      <w:proofErr w:type="gramEnd"/>
      <w:r w:rsidR="00B51925" w:rsidRPr="009B452D">
        <w:rPr>
          <w:b w:val="0"/>
          <w:color w:val="auto"/>
          <w:sz w:val="22"/>
          <w:szCs w:val="22"/>
        </w:rPr>
        <w:t xml:space="preserve"> </w:t>
      </w:r>
      <w:r w:rsidR="009B452D">
        <w:rPr>
          <w:b w:val="0"/>
          <w:color w:val="auto"/>
          <w:sz w:val="22"/>
          <w:szCs w:val="22"/>
        </w:rPr>
        <w:t xml:space="preserve">likely to be </w:t>
      </w:r>
      <w:r w:rsidR="00B51925" w:rsidRPr="009B452D">
        <w:rPr>
          <w:b w:val="0"/>
          <w:color w:val="auto"/>
          <w:sz w:val="22"/>
          <w:szCs w:val="22"/>
        </w:rPr>
        <w:t>accept</w:t>
      </w:r>
      <w:r w:rsidR="00653D1B">
        <w:rPr>
          <w:b w:val="0"/>
          <w:color w:val="auto"/>
          <w:sz w:val="22"/>
          <w:szCs w:val="22"/>
        </w:rPr>
        <w:t>ed by</w:t>
      </w:r>
      <w:r w:rsidR="00B51925" w:rsidRPr="009B452D">
        <w:rPr>
          <w:b w:val="0"/>
          <w:color w:val="auto"/>
          <w:sz w:val="22"/>
          <w:szCs w:val="22"/>
        </w:rPr>
        <w:t xml:space="preserve"> stakeholders</w:t>
      </w:r>
      <w:r w:rsidR="004321ED" w:rsidRPr="009B452D">
        <w:rPr>
          <w:b w:val="0"/>
          <w:color w:val="auto"/>
          <w:sz w:val="22"/>
          <w:szCs w:val="22"/>
        </w:rPr>
        <w:t xml:space="preserve"> and</w:t>
      </w:r>
      <w:r w:rsidR="009B452D">
        <w:rPr>
          <w:b w:val="0"/>
          <w:color w:val="auto"/>
          <w:sz w:val="22"/>
          <w:szCs w:val="22"/>
        </w:rPr>
        <w:t xml:space="preserve"> </w:t>
      </w:r>
      <w:r w:rsidR="004747AF" w:rsidRPr="009B452D">
        <w:rPr>
          <w:b w:val="0"/>
          <w:color w:val="auto"/>
          <w:sz w:val="22"/>
          <w:szCs w:val="22"/>
        </w:rPr>
        <w:t xml:space="preserve">relate to products supplied in </w:t>
      </w:r>
      <w:r w:rsidR="004321ED" w:rsidRPr="009B452D">
        <w:rPr>
          <w:b w:val="0"/>
          <w:color w:val="auto"/>
          <w:sz w:val="22"/>
          <w:szCs w:val="22"/>
        </w:rPr>
        <w:t>Australia</w:t>
      </w:r>
      <w:bookmarkEnd w:id="5"/>
    </w:p>
    <w:p w:rsidR="00653D1B" w:rsidRDefault="00653D1B" w:rsidP="00F80A7D">
      <w:pPr>
        <w:pStyle w:val="Bulletpoint"/>
        <w:numPr>
          <w:ilvl w:val="0"/>
          <w:numId w:val="38"/>
        </w:numPr>
      </w:pPr>
      <w:bookmarkStart w:id="6" w:name="_Toc448760758"/>
      <w:r w:rsidRPr="00C7536F">
        <w:t xml:space="preserve">meet the criteria </w:t>
      </w:r>
      <w:r>
        <w:t xml:space="preserve">the ACCC published in 2015 </w:t>
      </w:r>
      <w:r w:rsidRPr="00C7536F">
        <w:t xml:space="preserve">for </w:t>
      </w:r>
      <w:r>
        <w:t>a trusted</w:t>
      </w:r>
      <w:r w:rsidRPr="00C7536F">
        <w:t xml:space="preserve"> international standard</w:t>
      </w:r>
      <w:r w:rsidR="009A07EB">
        <w:t xml:space="preserve"> </w:t>
      </w:r>
      <w:r w:rsidR="009712B4">
        <w:t>in that they</w:t>
      </w:r>
      <w:r>
        <w:t>:</w:t>
      </w:r>
    </w:p>
    <w:p w:rsidR="00653D1B" w:rsidRPr="00F80A7D" w:rsidRDefault="00653D1B" w:rsidP="00F80A7D">
      <w:pPr>
        <w:pStyle w:val="Heading2"/>
        <w:numPr>
          <w:ilvl w:val="1"/>
          <w:numId w:val="38"/>
        </w:numPr>
        <w:rPr>
          <w:b w:val="0"/>
          <w:color w:val="auto"/>
          <w:sz w:val="22"/>
          <w:szCs w:val="22"/>
        </w:rPr>
      </w:pPr>
      <w:proofErr w:type="gramStart"/>
      <w:r w:rsidRPr="00F80A7D">
        <w:rPr>
          <w:b w:val="0"/>
          <w:color w:val="auto"/>
          <w:sz w:val="22"/>
          <w:szCs w:val="22"/>
        </w:rPr>
        <w:t>address</w:t>
      </w:r>
      <w:proofErr w:type="gramEnd"/>
      <w:r w:rsidRPr="00F80A7D">
        <w:rPr>
          <w:b w:val="0"/>
          <w:color w:val="auto"/>
          <w:sz w:val="22"/>
          <w:szCs w:val="22"/>
        </w:rPr>
        <w:t xml:space="preserve"> safety concerns</w:t>
      </w:r>
    </w:p>
    <w:p w:rsidR="00653D1B" w:rsidRPr="00F80A7D" w:rsidRDefault="009712B4" w:rsidP="00F80A7D">
      <w:pPr>
        <w:pStyle w:val="Heading2"/>
        <w:numPr>
          <w:ilvl w:val="1"/>
          <w:numId w:val="38"/>
        </w:numPr>
        <w:rPr>
          <w:b w:val="0"/>
          <w:color w:val="auto"/>
          <w:sz w:val="22"/>
          <w:szCs w:val="22"/>
        </w:rPr>
      </w:pPr>
      <w:proofErr w:type="gramStart"/>
      <w:r>
        <w:rPr>
          <w:b w:val="0"/>
          <w:color w:val="auto"/>
          <w:sz w:val="22"/>
          <w:szCs w:val="22"/>
        </w:rPr>
        <w:t>are</w:t>
      </w:r>
      <w:proofErr w:type="gramEnd"/>
      <w:r w:rsidR="00653D1B" w:rsidRPr="00F80A7D">
        <w:rPr>
          <w:b w:val="0"/>
          <w:color w:val="auto"/>
          <w:sz w:val="22"/>
          <w:szCs w:val="22"/>
        </w:rPr>
        <w:t xml:space="preserve"> from a comparable jurisdiction to Australia</w:t>
      </w:r>
    </w:p>
    <w:p w:rsidR="00653D1B" w:rsidRDefault="00653D1B" w:rsidP="00F80A7D">
      <w:pPr>
        <w:pStyle w:val="Heading2"/>
        <w:numPr>
          <w:ilvl w:val="1"/>
          <w:numId w:val="38"/>
        </w:numPr>
        <w:rPr>
          <w:b w:val="0"/>
          <w:color w:val="auto"/>
          <w:sz w:val="22"/>
          <w:szCs w:val="22"/>
        </w:rPr>
      </w:pPr>
      <w:proofErr w:type="gramStart"/>
      <w:r w:rsidRPr="00F80A7D">
        <w:rPr>
          <w:b w:val="0"/>
          <w:color w:val="auto"/>
          <w:sz w:val="22"/>
          <w:szCs w:val="22"/>
        </w:rPr>
        <w:t>appl</w:t>
      </w:r>
      <w:r w:rsidR="009712B4">
        <w:rPr>
          <w:b w:val="0"/>
          <w:color w:val="auto"/>
          <w:sz w:val="22"/>
          <w:szCs w:val="22"/>
        </w:rPr>
        <w:t>y</w:t>
      </w:r>
      <w:proofErr w:type="gramEnd"/>
      <w:r w:rsidRPr="00F80A7D">
        <w:rPr>
          <w:b w:val="0"/>
          <w:color w:val="auto"/>
          <w:sz w:val="22"/>
          <w:szCs w:val="22"/>
        </w:rPr>
        <w:t xml:space="preserve"> to the Australian context.</w:t>
      </w:r>
    </w:p>
    <w:p w:rsidR="00414DD6" w:rsidRPr="00414DD6" w:rsidRDefault="00414DD6" w:rsidP="00414DD6"/>
    <w:p w:rsidR="00A10606" w:rsidRPr="00A10606" w:rsidRDefault="00E83BED" w:rsidP="00FE412B">
      <w:pPr>
        <w:pStyle w:val="Numbered1"/>
      </w:pPr>
      <w:bookmarkStart w:id="7" w:name="_Toc417561908"/>
      <w:bookmarkStart w:id="8" w:name="_Toc422737688"/>
      <w:bookmarkStart w:id="9" w:name="_Toc448760761"/>
      <w:bookmarkEnd w:id="6"/>
      <w:bookmarkEnd w:id="7"/>
      <w:r>
        <w:t>Proposed list of standard</w:t>
      </w:r>
      <w:r w:rsidR="00722B21">
        <w:t>s</w:t>
      </w:r>
      <w:r>
        <w:t xml:space="preserve"> associations</w:t>
      </w:r>
      <w:bookmarkEnd w:id="8"/>
      <w:bookmarkEnd w:id="9"/>
    </w:p>
    <w:p w:rsidR="00E83BED" w:rsidRDefault="00A10606" w:rsidP="00BA5801">
      <w:pPr>
        <w:spacing w:after="240"/>
      </w:pPr>
      <w:r w:rsidRPr="00A10606">
        <w:t xml:space="preserve">The </w:t>
      </w:r>
      <w:r w:rsidR="00E83BED">
        <w:t xml:space="preserve">ACCC </w:t>
      </w:r>
      <w:r w:rsidR="00722B21">
        <w:t>seeks comment on</w:t>
      </w:r>
      <w:r w:rsidR="00E83BED">
        <w:t xml:space="preserve"> the following associations </w:t>
      </w:r>
      <w:r w:rsidR="00722B21">
        <w:t>for</w:t>
      </w:r>
      <w:r w:rsidR="00E83BED">
        <w:t xml:space="preserve"> the </w:t>
      </w:r>
      <w:r w:rsidR="00621978">
        <w:t>proposed regulation</w:t>
      </w:r>
      <w:r w:rsidR="00E83BED">
        <w:t>.</w:t>
      </w:r>
    </w:p>
    <w:tbl>
      <w:tblPr>
        <w:tblStyle w:val="LightShading"/>
        <w:tblW w:w="8471" w:type="dxa"/>
        <w:tblLayout w:type="fixed"/>
        <w:tblLook w:val="04A0" w:firstRow="1" w:lastRow="0" w:firstColumn="1" w:lastColumn="0" w:noHBand="0" w:noVBand="1"/>
      </w:tblPr>
      <w:tblGrid>
        <w:gridCol w:w="2802"/>
        <w:gridCol w:w="5669"/>
      </w:tblGrid>
      <w:tr w:rsidR="00377412" w:rsidRPr="00F10405" w:rsidTr="002A0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bottom w:val="nil"/>
            </w:tcBorders>
            <w:vAlign w:val="top"/>
          </w:tcPr>
          <w:p w:rsidR="00377412" w:rsidRPr="00947BBA" w:rsidRDefault="00377412" w:rsidP="006E00A6">
            <w:pPr>
              <w:jc w:val="center"/>
              <w:rPr>
                <w:rFonts w:cs="Arial"/>
                <w:sz w:val="22"/>
              </w:rPr>
            </w:pPr>
            <w:r w:rsidRPr="00947BBA">
              <w:rPr>
                <w:rFonts w:cs="Arial"/>
                <w:sz w:val="22"/>
              </w:rPr>
              <w:t>Organisation</w:t>
            </w:r>
          </w:p>
        </w:tc>
        <w:tc>
          <w:tcPr>
            <w:tcW w:w="5669" w:type="dxa"/>
            <w:tcBorders>
              <w:bottom w:val="nil"/>
            </w:tcBorders>
            <w:vAlign w:val="top"/>
          </w:tcPr>
          <w:p w:rsidR="00377412" w:rsidRPr="00947BBA" w:rsidRDefault="00377412" w:rsidP="006E00A6">
            <w:pPr>
              <w:jc w:val="center"/>
              <w:cnfStyle w:val="100000000000" w:firstRow="1" w:lastRow="0" w:firstColumn="0" w:lastColumn="0" w:oddVBand="0" w:evenVBand="0" w:oddHBand="0" w:evenHBand="0" w:firstRowFirstColumn="0" w:firstRowLastColumn="0" w:lastRowFirstColumn="0" w:lastRowLastColumn="0"/>
              <w:rPr>
                <w:rFonts w:cs="Arial"/>
                <w:sz w:val="22"/>
              </w:rPr>
            </w:pPr>
            <w:r w:rsidRPr="00947BBA">
              <w:rPr>
                <w:rFonts w:cs="Arial"/>
                <w:sz w:val="22"/>
              </w:rPr>
              <w:t>Comment</w:t>
            </w:r>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03565F" w:rsidP="00377412">
            <w:pPr>
              <w:rPr>
                <w:rFonts w:cs="Arial"/>
                <w:b w:val="0"/>
                <w:szCs w:val="20"/>
              </w:rPr>
            </w:pPr>
            <w:hyperlink r:id="rId12" w:tooltip="ANSI" w:history="1">
              <w:r w:rsidR="00377412" w:rsidRPr="00F10405">
                <w:rPr>
                  <w:rFonts w:eastAsia="Times New Roman" w:cs="Arial"/>
                  <w:b w:val="0"/>
                  <w:szCs w:val="20"/>
                  <w:lang w:val="en" w:eastAsia="en-AU"/>
                </w:rPr>
                <w:t>ANSI</w:t>
              </w:r>
            </w:hyperlink>
            <w:r w:rsidR="00377412" w:rsidRPr="00F10405">
              <w:rPr>
                <w:rFonts w:eastAsia="Times New Roman" w:cs="Arial"/>
                <w:b w:val="0"/>
                <w:szCs w:val="20"/>
                <w:lang w:val="en" w:eastAsia="en-AU"/>
              </w:rPr>
              <w:t xml:space="preserve"> — </w:t>
            </w:r>
            <w:hyperlink r:id="rId13" w:tooltip="American National Standards Institute" w:history="1">
              <w:r w:rsidR="00377412" w:rsidRPr="00F10405">
                <w:rPr>
                  <w:rFonts w:eastAsia="Times New Roman" w:cs="Arial"/>
                  <w:b w:val="0"/>
                  <w:szCs w:val="20"/>
                  <w:lang w:val="en" w:eastAsia="en-AU"/>
                </w:rPr>
                <w:t>American National Standards Institute</w:t>
              </w:r>
            </w:hyperlink>
          </w:p>
        </w:tc>
        <w:tc>
          <w:tcPr>
            <w:tcW w:w="5669" w:type="dxa"/>
            <w:vAlign w:val="top"/>
          </w:tcPr>
          <w:p w:rsidR="00377412" w:rsidRPr="00F10405" w:rsidRDefault="00377412" w:rsidP="00F80A7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lang w:val="en"/>
              </w:rPr>
              <w:t xml:space="preserve">US </w:t>
            </w:r>
            <w:r w:rsidRPr="00F10405">
              <w:rPr>
                <w:rFonts w:cs="Arial"/>
                <w:szCs w:val="20"/>
                <w:lang w:val="en"/>
              </w:rPr>
              <w:t xml:space="preserve">standards </w:t>
            </w:r>
            <w:r w:rsidR="0013522F">
              <w:rPr>
                <w:rFonts w:cs="Arial"/>
                <w:szCs w:val="20"/>
                <w:lang w:val="en"/>
              </w:rPr>
              <w:t>body</w:t>
            </w:r>
            <w:r w:rsidRPr="00F10405">
              <w:rPr>
                <w:rFonts w:cs="Arial"/>
                <w:szCs w:val="20"/>
                <w:lang w:val="en"/>
              </w:rPr>
              <w:t xml:space="preserve"> </w:t>
            </w:r>
            <w:r w:rsidR="00F80A7D">
              <w:rPr>
                <w:rFonts w:cs="Arial"/>
                <w:szCs w:val="20"/>
                <w:lang w:val="en"/>
              </w:rPr>
              <w:t>e</w:t>
            </w:r>
            <w:r w:rsidRPr="00F10405">
              <w:rPr>
                <w:rFonts w:cs="Arial"/>
                <w:szCs w:val="20"/>
                <w:lang w:val="en"/>
              </w:rPr>
              <w:t>stablished 1918.</w:t>
            </w:r>
            <w:r w:rsidR="00F80A7D">
              <w:rPr>
                <w:rFonts w:cs="Arial"/>
                <w:szCs w:val="20"/>
                <w:lang w:val="en"/>
              </w:rPr>
              <w:t xml:space="preserve"> </w:t>
            </w:r>
            <w:r w:rsidRPr="00F10405">
              <w:rPr>
                <w:rFonts w:cs="Arial"/>
                <w:szCs w:val="20"/>
                <w:lang w:val="en"/>
              </w:rPr>
              <w:t xml:space="preserve"> </w:t>
            </w:r>
            <w:hyperlink r:id="rId14" w:history="1">
              <w:r w:rsidRPr="00F10405">
                <w:rPr>
                  <w:rStyle w:val="Hyperlink"/>
                  <w:rFonts w:cs="Arial"/>
                  <w:sz w:val="20"/>
                  <w:szCs w:val="20"/>
                </w:rPr>
                <w:t>http://www.ansi.org/</w:t>
              </w:r>
            </w:hyperlink>
            <w:r w:rsidRPr="00F10405">
              <w:rPr>
                <w:rStyle w:val="Hyperlink"/>
                <w:rFonts w:cs="Arial"/>
                <w:sz w:val="20"/>
                <w:szCs w:val="20"/>
              </w:rPr>
              <w:t xml:space="preserve"> </w:t>
            </w:r>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03565F" w:rsidP="00144C02">
            <w:pPr>
              <w:rPr>
                <w:rFonts w:cs="Arial"/>
                <w:szCs w:val="20"/>
              </w:rPr>
            </w:pPr>
            <w:hyperlink r:id="rId15" w:tooltip="ASTM International" w:history="1">
              <w:r w:rsidR="00377412" w:rsidRPr="00F10405">
                <w:rPr>
                  <w:rFonts w:eastAsia="Times New Roman" w:cs="Arial"/>
                  <w:b w:val="0"/>
                  <w:szCs w:val="20"/>
                  <w:lang w:val="en" w:eastAsia="en-AU"/>
                </w:rPr>
                <w:t>ASTM International</w:t>
              </w:r>
            </w:hyperlink>
            <w:r w:rsidR="00377412" w:rsidRPr="00F10405">
              <w:rPr>
                <w:rFonts w:eastAsia="Times New Roman" w:cs="Arial"/>
                <w:b w:val="0"/>
                <w:szCs w:val="20"/>
                <w:lang w:val="en" w:eastAsia="en-AU"/>
              </w:rPr>
              <w:t xml:space="preserve">  </w:t>
            </w:r>
          </w:p>
        </w:tc>
        <w:tc>
          <w:tcPr>
            <w:tcW w:w="5669" w:type="dxa"/>
            <w:vAlign w:val="top"/>
          </w:tcPr>
          <w:p w:rsidR="00377412" w:rsidRPr="00F10405" w:rsidRDefault="00377412" w:rsidP="00F80A7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lang w:val="en"/>
              </w:rPr>
              <w:t xml:space="preserve">US </w:t>
            </w:r>
            <w:hyperlink r:id="rId16" w:tooltip="Standards organization" w:history="1">
              <w:r w:rsidRPr="00F10405">
                <w:rPr>
                  <w:rFonts w:cs="Arial"/>
                  <w:szCs w:val="20"/>
                  <w:lang w:val="en"/>
                </w:rPr>
                <w:t xml:space="preserve">standards </w:t>
              </w:r>
              <w:r w:rsidR="0013522F">
                <w:rPr>
                  <w:rFonts w:cs="Arial"/>
                  <w:szCs w:val="20"/>
                  <w:lang w:val="en"/>
                </w:rPr>
                <w:t>body</w:t>
              </w:r>
            </w:hyperlink>
            <w:r w:rsidR="0013522F">
              <w:rPr>
                <w:rFonts w:cs="Arial"/>
                <w:szCs w:val="20"/>
                <w:lang w:val="en"/>
              </w:rPr>
              <w:t xml:space="preserve"> e</w:t>
            </w:r>
            <w:r w:rsidRPr="00F10405">
              <w:rPr>
                <w:rFonts w:cs="Arial"/>
                <w:szCs w:val="20"/>
                <w:lang w:val="en"/>
              </w:rPr>
              <w:t>stablished 1901.</w:t>
            </w:r>
            <w:r w:rsidR="00F80A7D">
              <w:rPr>
                <w:rFonts w:cs="Arial"/>
                <w:szCs w:val="20"/>
                <w:lang w:val="en"/>
              </w:rPr>
              <w:t xml:space="preserve"> </w:t>
            </w:r>
            <w:hyperlink r:id="rId17" w:history="1">
              <w:r w:rsidRPr="00F10405">
                <w:rPr>
                  <w:rStyle w:val="Hyperlink"/>
                  <w:rFonts w:cs="Arial"/>
                  <w:sz w:val="20"/>
                  <w:szCs w:val="20"/>
                </w:rPr>
                <w:t>http://www.astm.org/</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377412" w:rsidP="00377412">
            <w:pPr>
              <w:rPr>
                <w:rFonts w:eastAsia="Times New Roman" w:cs="Arial"/>
                <w:b w:val="0"/>
                <w:szCs w:val="20"/>
                <w:lang w:val="en"/>
              </w:rPr>
            </w:pPr>
            <w:r w:rsidRPr="00F10405">
              <w:rPr>
                <w:rFonts w:eastAsia="Times New Roman" w:cs="Arial"/>
                <w:b w:val="0"/>
                <w:szCs w:val="20"/>
                <w:lang w:val="en" w:eastAsia="en-AU"/>
              </w:rPr>
              <w:t xml:space="preserve">BSI — British Standards Institution </w:t>
            </w:r>
          </w:p>
        </w:tc>
        <w:tc>
          <w:tcPr>
            <w:tcW w:w="5669" w:type="dxa"/>
            <w:vAlign w:val="top"/>
          </w:tcPr>
          <w:p w:rsidR="00377412" w:rsidRPr="00F10405" w:rsidRDefault="00377412" w:rsidP="00F80A7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UK standards </w:t>
            </w:r>
            <w:r w:rsidR="0013522F">
              <w:rPr>
                <w:rFonts w:cs="Arial"/>
                <w:szCs w:val="20"/>
              </w:rPr>
              <w:t>body</w:t>
            </w:r>
            <w:r>
              <w:rPr>
                <w:rFonts w:cs="Arial"/>
                <w:szCs w:val="20"/>
              </w:rPr>
              <w:t xml:space="preserve"> e</w:t>
            </w:r>
            <w:r w:rsidRPr="00F10405">
              <w:rPr>
                <w:rFonts w:cs="Arial"/>
                <w:szCs w:val="20"/>
              </w:rPr>
              <w:t xml:space="preserve">stablished 1901. </w:t>
            </w:r>
            <w:hyperlink r:id="rId18" w:history="1">
              <w:r w:rsidRPr="00F10405">
                <w:rPr>
                  <w:rStyle w:val="Hyperlink"/>
                  <w:rFonts w:cs="Arial"/>
                  <w:sz w:val="20"/>
                  <w:szCs w:val="20"/>
                </w:rPr>
                <w:t>http://www.bsigroup.com/</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377412" w:rsidP="00144C02">
            <w:pPr>
              <w:rPr>
                <w:rFonts w:cs="Arial"/>
                <w:szCs w:val="20"/>
              </w:rPr>
            </w:pPr>
            <w:r w:rsidRPr="00F10405">
              <w:rPr>
                <w:rFonts w:eastAsia="Times New Roman" w:cs="Arial"/>
                <w:b w:val="0"/>
                <w:szCs w:val="20"/>
                <w:lang w:val="en" w:eastAsia="en-AU"/>
              </w:rPr>
              <w:t xml:space="preserve">CEN </w:t>
            </w:r>
            <w:r w:rsidR="008B4A5F" w:rsidRPr="003A672A">
              <w:rPr>
                <w:rFonts w:asciiTheme="minorHAnsi" w:eastAsia="Times New Roman" w:hAnsiTheme="minorHAnsi" w:cstheme="minorHAnsi"/>
                <w:b w:val="0"/>
                <w:lang w:val="en" w:eastAsia="en-AU"/>
              </w:rPr>
              <w:t>—</w:t>
            </w:r>
            <w:r w:rsidRPr="00F10405">
              <w:rPr>
                <w:rFonts w:eastAsia="Times New Roman" w:cs="Arial"/>
                <w:b w:val="0"/>
                <w:szCs w:val="20"/>
                <w:lang w:val="en" w:eastAsia="en-AU"/>
              </w:rPr>
              <w:t xml:space="preserve"> </w:t>
            </w:r>
            <w:r w:rsidRPr="00F10405">
              <w:rPr>
                <w:rFonts w:cs="Arial"/>
                <w:b w:val="0"/>
                <w:szCs w:val="20"/>
                <w:lang w:val="en"/>
              </w:rPr>
              <w:t>the European Committee for Standardization</w:t>
            </w:r>
          </w:p>
        </w:tc>
        <w:tc>
          <w:tcPr>
            <w:tcW w:w="5669" w:type="dxa"/>
            <w:vAlign w:val="top"/>
          </w:tcPr>
          <w:p w:rsidR="00377412" w:rsidRPr="00F10405" w:rsidRDefault="00377412" w:rsidP="002A03A4">
            <w:pPr>
              <w:cnfStyle w:val="000000000000" w:firstRow="0" w:lastRow="0" w:firstColumn="0" w:lastColumn="0" w:oddVBand="0" w:evenVBand="0" w:oddHBand="0" w:evenHBand="0" w:firstRowFirstColumn="0" w:firstRowLastColumn="0" w:lastRowFirstColumn="0" w:lastRowLastColumn="0"/>
              <w:rPr>
                <w:rFonts w:cs="Arial"/>
                <w:szCs w:val="20"/>
              </w:rPr>
            </w:pPr>
            <w:r w:rsidRPr="00F10405">
              <w:rPr>
                <w:rFonts w:cs="Arial"/>
                <w:szCs w:val="20"/>
              </w:rPr>
              <w:t xml:space="preserve">Association of </w:t>
            </w:r>
            <w:r>
              <w:rPr>
                <w:rFonts w:cs="Arial"/>
                <w:szCs w:val="20"/>
              </w:rPr>
              <w:t>n</w:t>
            </w:r>
            <w:r w:rsidRPr="00F10405">
              <w:rPr>
                <w:rFonts w:cs="Arial"/>
                <w:szCs w:val="20"/>
              </w:rPr>
              <w:t xml:space="preserve">ational </w:t>
            </w:r>
            <w:r>
              <w:rPr>
                <w:rFonts w:cs="Arial"/>
                <w:szCs w:val="20"/>
              </w:rPr>
              <w:t>s</w:t>
            </w:r>
            <w:r w:rsidRPr="00F10405">
              <w:rPr>
                <w:rFonts w:cs="Arial"/>
                <w:szCs w:val="20"/>
              </w:rPr>
              <w:t xml:space="preserve">tandards </w:t>
            </w:r>
            <w:r>
              <w:rPr>
                <w:rFonts w:cs="Arial"/>
                <w:szCs w:val="20"/>
              </w:rPr>
              <w:t>b</w:t>
            </w:r>
            <w:r w:rsidRPr="00F10405">
              <w:rPr>
                <w:rFonts w:cs="Arial"/>
                <w:szCs w:val="20"/>
              </w:rPr>
              <w:t xml:space="preserve">odies of Europe. </w:t>
            </w:r>
            <w:hyperlink r:id="rId19" w:history="1">
              <w:r w:rsidRPr="00377412">
                <w:rPr>
                  <w:rStyle w:val="Hyperlink"/>
                  <w:rFonts w:cs="Arial"/>
                  <w:sz w:val="20"/>
                  <w:szCs w:val="20"/>
                </w:rPr>
                <w:t>https://www.cen.eu/about/Pages/default.aspx</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377412" w:rsidP="00377412">
            <w:pPr>
              <w:rPr>
                <w:rFonts w:eastAsia="Times New Roman" w:cs="Arial"/>
                <w:b w:val="0"/>
                <w:szCs w:val="20"/>
                <w:lang w:val="en" w:eastAsia="en-AU"/>
              </w:rPr>
            </w:pPr>
            <w:r>
              <w:rPr>
                <w:rFonts w:eastAsia="Times New Roman" w:cs="Arial"/>
                <w:b w:val="0"/>
                <w:szCs w:val="20"/>
                <w:lang w:val="en" w:eastAsia="en-AU"/>
              </w:rPr>
              <w:t>CSA</w:t>
            </w:r>
            <w:r w:rsidRPr="00F10405">
              <w:rPr>
                <w:rFonts w:eastAsia="Times New Roman" w:cs="Arial"/>
                <w:b w:val="0"/>
                <w:szCs w:val="20"/>
                <w:lang w:val="en" w:eastAsia="en-AU"/>
              </w:rPr>
              <w:t xml:space="preserve"> </w:t>
            </w:r>
            <w:r>
              <w:rPr>
                <w:rFonts w:eastAsia="Times New Roman" w:cs="Arial"/>
                <w:b w:val="0"/>
                <w:szCs w:val="20"/>
                <w:lang w:val="en" w:eastAsia="en-AU"/>
              </w:rPr>
              <w:t xml:space="preserve"> Group</w:t>
            </w:r>
          </w:p>
        </w:tc>
        <w:tc>
          <w:tcPr>
            <w:tcW w:w="5669" w:type="dxa"/>
          </w:tcPr>
          <w:p w:rsidR="00377412" w:rsidRPr="00722B21" w:rsidRDefault="00377412" w:rsidP="00F80A7D">
            <w:pPr>
              <w:cnfStyle w:val="000000000000" w:firstRow="0" w:lastRow="0" w:firstColumn="0" w:lastColumn="0" w:oddVBand="0" w:evenVBand="0" w:oddHBand="0" w:evenHBand="0" w:firstRowFirstColumn="0" w:firstRowLastColumn="0" w:lastRowFirstColumn="0" w:lastRowLastColumn="0"/>
              <w:rPr>
                <w:szCs w:val="20"/>
              </w:rPr>
            </w:pPr>
            <w:r>
              <w:rPr>
                <w:rFonts w:eastAsia="Times New Roman" w:cs="Arial"/>
                <w:szCs w:val="20"/>
                <w:lang w:val="en" w:eastAsia="en-AU"/>
              </w:rPr>
              <w:t>Canadian standards association</w:t>
            </w:r>
            <w:r>
              <w:t xml:space="preserve"> </w:t>
            </w:r>
            <w:hyperlink r:id="rId20" w:history="1">
              <w:r w:rsidRPr="00377412">
                <w:rPr>
                  <w:rStyle w:val="Hyperlink"/>
                  <w:sz w:val="20"/>
                  <w:szCs w:val="20"/>
                </w:rPr>
                <w:t>http://www.csagroup.org/</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03565F" w:rsidP="00377412">
            <w:pPr>
              <w:rPr>
                <w:rFonts w:eastAsia="Times New Roman" w:cs="Arial"/>
                <w:b w:val="0"/>
                <w:szCs w:val="20"/>
                <w:lang w:val="en"/>
              </w:rPr>
            </w:pPr>
            <w:hyperlink r:id="rId21" w:tooltip="DIN" w:history="1">
              <w:r w:rsidR="00377412" w:rsidRPr="00F10405">
                <w:rPr>
                  <w:rFonts w:eastAsia="Times New Roman" w:cs="Arial"/>
                  <w:b w:val="0"/>
                  <w:szCs w:val="20"/>
                  <w:lang w:val="en" w:eastAsia="en-AU"/>
                </w:rPr>
                <w:t>DIN</w:t>
              </w:r>
            </w:hyperlink>
            <w:r w:rsidR="00377412" w:rsidRPr="00F10405">
              <w:rPr>
                <w:rFonts w:eastAsia="Times New Roman" w:cs="Arial"/>
                <w:b w:val="0"/>
                <w:szCs w:val="20"/>
                <w:lang w:val="en" w:eastAsia="en-AU"/>
              </w:rPr>
              <w:t xml:space="preserve"> — </w:t>
            </w:r>
            <w:r w:rsidR="00377412" w:rsidRPr="00377412">
              <w:rPr>
                <w:rFonts w:eastAsia="Times New Roman" w:cs="Arial"/>
                <w:b w:val="0"/>
                <w:szCs w:val="20"/>
                <w:lang w:val="en" w:eastAsia="en-AU"/>
              </w:rPr>
              <w:t>Deutsches</w:t>
            </w:r>
            <w:r w:rsidR="00377412" w:rsidRPr="00F10405">
              <w:rPr>
                <w:rFonts w:eastAsia="Times New Roman" w:cs="Arial"/>
                <w:b w:val="0"/>
                <w:szCs w:val="20"/>
                <w:lang w:val="de-DE" w:eastAsia="en-AU"/>
              </w:rPr>
              <w:t xml:space="preserve"> Institut für Normung</w:t>
            </w:r>
            <w:r w:rsidR="00377412" w:rsidRPr="00F10405">
              <w:rPr>
                <w:rFonts w:eastAsia="Times New Roman" w:cs="Arial"/>
                <w:b w:val="0"/>
                <w:szCs w:val="20"/>
                <w:lang w:val="en" w:eastAsia="en-AU"/>
              </w:rPr>
              <w:t xml:space="preserve"> and </w:t>
            </w:r>
            <w:hyperlink r:id="rId22" w:tooltip="Deutsches Institut für Bautechnik" w:history="1">
              <w:r w:rsidR="00377412" w:rsidRPr="00F10405">
                <w:rPr>
                  <w:rFonts w:eastAsia="Times New Roman" w:cs="Arial"/>
                  <w:b w:val="0"/>
                  <w:szCs w:val="20"/>
                  <w:lang w:val="de-DE" w:eastAsia="en-AU"/>
                </w:rPr>
                <w:t>Deutsches Institut für Bautechnik</w:t>
              </w:r>
            </w:hyperlink>
          </w:p>
        </w:tc>
        <w:tc>
          <w:tcPr>
            <w:tcW w:w="5669" w:type="dxa"/>
            <w:vAlign w:val="top"/>
          </w:tcPr>
          <w:p w:rsidR="00377412" w:rsidRPr="00F10405" w:rsidRDefault="00377412" w:rsidP="00F80A7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German institute for standards</w:t>
            </w:r>
            <w:r w:rsidR="00F80A7D">
              <w:rPr>
                <w:rFonts w:cs="Arial"/>
                <w:szCs w:val="20"/>
              </w:rPr>
              <w:t xml:space="preserve"> </w:t>
            </w:r>
            <w:hyperlink r:id="rId23" w:history="1">
              <w:r w:rsidRPr="003A672A">
                <w:rPr>
                  <w:rStyle w:val="Hyperlink"/>
                  <w:rFonts w:cs="Arial"/>
                  <w:sz w:val="20"/>
                  <w:szCs w:val="20"/>
                </w:rPr>
                <w:t>http://www.din.de/en</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377412" w:rsidP="008B4A5F">
            <w:pPr>
              <w:rPr>
                <w:rFonts w:cs="Arial"/>
                <w:szCs w:val="20"/>
              </w:rPr>
            </w:pPr>
            <w:r w:rsidRPr="00F10405">
              <w:rPr>
                <w:rFonts w:cs="Arial"/>
                <w:b w:val="0"/>
                <w:szCs w:val="20"/>
                <w:lang w:val="en"/>
              </w:rPr>
              <w:t>IEC</w:t>
            </w:r>
            <w:r w:rsidR="008B4A5F">
              <w:rPr>
                <w:rFonts w:cs="Arial"/>
                <w:b w:val="0"/>
                <w:szCs w:val="20"/>
                <w:lang w:val="en"/>
              </w:rPr>
              <w:t xml:space="preserve"> </w:t>
            </w:r>
            <w:r w:rsidR="008B4A5F" w:rsidRPr="003A672A">
              <w:rPr>
                <w:rFonts w:asciiTheme="minorHAnsi" w:eastAsia="Times New Roman" w:hAnsiTheme="minorHAnsi" w:cstheme="minorHAnsi"/>
                <w:b w:val="0"/>
                <w:lang w:val="en" w:eastAsia="en-AU"/>
              </w:rPr>
              <w:t>—</w:t>
            </w:r>
            <w:r w:rsidRPr="00F10405">
              <w:rPr>
                <w:rFonts w:cs="Arial"/>
                <w:b w:val="0"/>
                <w:szCs w:val="20"/>
                <w:lang w:val="en"/>
              </w:rPr>
              <w:t xml:space="preserve"> International </w:t>
            </w:r>
            <w:r w:rsidR="008B4A5F">
              <w:rPr>
                <w:rFonts w:cs="Arial"/>
                <w:b w:val="0"/>
                <w:szCs w:val="20"/>
                <w:lang w:val="en"/>
              </w:rPr>
              <w:t>Electrotechnical Commission</w:t>
            </w:r>
          </w:p>
        </w:tc>
        <w:tc>
          <w:tcPr>
            <w:tcW w:w="5669" w:type="dxa"/>
            <w:vAlign w:val="top"/>
          </w:tcPr>
          <w:p w:rsidR="00377412" w:rsidRPr="0013522F" w:rsidRDefault="0003565F" w:rsidP="00F80A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
              </w:rPr>
            </w:pPr>
            <w:hyperlink r:id="rId24" w:tooltip="International standard" w:history="1">
              <w:r w:rsidR="0013522F">
                <w:rPr>
                  <w:rFonts w:asciiTheme="minorHAnsi" w:hAnsiTheme="minorHAnsi" w:cstheme="minorHAnsi"/>
                  <w:lang w:val="en"/>
                </w:rPr>
                <w:t>I</w:t>
              </w:r>
              <w:r w:rsidR="0013522F" w:rsidRPr="0013522F">
                <w:rPr>
                  <w:rFonts w:asciiTheme="minorHAnsi" w:hAnsiTheme="minorHAnsi" w:cstheme="minorHAnsi"/>
                  <w:lang w:val="en"/>
                </w:rPr>
                <w:t xml:space="preserve">nternational </w:t>
              </w:r>
              <w:r w:rsidR="0013522F">
                <w:rPr>
                  <w:rFonts w:asciiTheme="minorHAnsi" w:hAnsiTheme="minorHAnsi" w:cstheme="minorHAnsi"/>
                  <w:lang w:val="en"/>
                </w:rPr>
                <w:t xml:space="preserve">electrical </w:t>
              </w:r>
              <w:r w:rsidR="0013522F" w:rsidRPr="0013522F">
                <w:rPr>
                  <w:rFonts w:asciiTheme="minorHAnsi" w:hAnsiTheme="minorHAnsi" w:cstheme="minorHAnsi"/>
                  <w:lang w:val="en"/>
                </w:rPr>
                <w:t>standard</w:t>
              </w:r>
            </w:hyperlink>
            <w:r w:rsidR="0013522F">
              <w:rPr>
                <w:rFonts w:asciiTheme="minorHAnsi" w:hAnsiTheme="minorHAnsi" w:cstheme="minorHAnsi"/>
                <w:lang w:val="en"/>
              </w:rPr>
              <w:t xml:space="preserve">s </w:t>
            </w:r>
            <w:r w:rsidR="0013522F" w:rsidRPr="00576C7C">
              <w:rPr>
                <w:rFonts w:asciiTheme="minorHAnsi" w:hAnsiTheme="minorHAnsi" w:cstheme="minorHAnsi"/>
                <w:lang w:val="en"/>
              </w:rPr>
              <w:t xml:space="preserve">setting body </w:t>
            </w:r>
            <w:r w:rsidR="0013522F">
              <w:rPr>
                <w:rFonts w:asciiTheme="minorHAnsi" w:hAnsiTheme="minorHAnsi" w:cstheme="minorHAnsi"/>
                <w:lang w:val="en"/>
              </w:rPr>
              <w:t>with</w:t>
            </w:r>
            <w:r w:rsidR="0013522F" w:rsidRPr="00576C7C">
              <w:rPr>
                <w:rFonts w:asciiTheme="minorHAnsi" w:hAnsiTheme="minorHAnsi" w:cstheme="minorHAnsi"/>
                <w:lang w:val="en"/>
              </w:rPr>
              <w:t xml:space="preserve"> representatives from national </w:t>
            </w:r>
            <w:hyperlink r:id="rId25" w:tooltip="Standards organizations" w:history="1">
              <w:r w:rsidR="0013522F" w:rsidRPr="0013522F">
                <w:rPr>
                  <w:rFonts w:asciiTheme="minorHAnsi" w:hAnsiTheme="minorHAnsi" w:cstheme="minorHAnsi"/>
                  <w:lang w:val="en"/>
                </w:rPr>
                <w:t>standards organi</w:t>
              </w:r>
              <w:r w:rsidR="0013522F">
                <w:rPr>
                  <w:rFonts w:asciiTheme="minorHAnsi" w:hAnsiTheme="minorHAnsi" w:cstheme="minorHAnsi"/>
                  <w:lang w:val="en"/>
                </w:rPr>
                <w:t>s</w:t>
              </w:r>
              <w:r w:rsidR="0013522F" w:rsidRPr="0013522F">
                <w:rPr>
                  <w:rFonts w:asciiTheme="minorHAnsi" w:hAnsiTheme="minorHAnsi" w:cstheme="minorHAnsi"/>
                  <w:lang w:val="en"/>
                </w:rPr>
                <w:t>ations</w:t>
              </w:r>
            </w:hyperlink>
            <w:r w:rsidR="0013522F">
              <w:rPr>
                <w:rFonts w:asciiTheme="minorHAnsi" w:hAnsiTheme="minorHAnsi" w:cstheme="minorHAnsi"/>
                <w:lang w:val="en"/>
              </w:rPr>
              <w:t xml:space="preserve"> including Standards Australia. </w:t>
            </w:r>
            <w:hyperlink r:id="rId26" w:history="1">
              <w:r w:rsidR="00377412" w:rsidRPr="0013522F">
                <w:rPr>
                  <w:rStyle w:val="Hyperlink"/>
                  <w:rFonts w:cs="Arial"/>
                  <w:sz w:val="20"/>
                  <w:szCs w:val="20"/>
                </w:rPr>
                <w:t>http://www.iec.ch/about/</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F10405" w:rsidRDefault="0003565F" w:rsidP="00377412">
            <w:pPr>
              <w:rPr>
                <w:rFonts w:eastAsia="Times New Roman" w:cs="Arial"/>
                <w:b w:val="0"/>
                <w:szCs w:val="20"/>
                <w:lang w:val="en"/>
              </w:rPr>
            </w:pPr>
            <w:hyperlink r:id="rId27" w:tooltip="International Organization for Standardization" w:history="1">
              <w:r w:rsidR="00377412" w:rsidRPr="003A672A">
                <w:rPr>
                  <w:rFonts w:asciiTheme="minorHAnsi" w:eastAsia="Times New Roman" w:hAnsiTheme="minorHAnsi" w:cstheme="minorHAnsi"/>
                  <w:b w:val="0"/>
                  <w:lang w:val="en" w:eastAsia="en-AU"/>
                </w:rPr>
                <w:t>ISO</w:t>
              </w:r>
            </w:hyperlink>
            <w:r w:rsidR="00377412" w:rsidRPr="003A672A">
              <w:rPr>
                <w:rFonts w:asciiTheme="minorHAnsi" w:eastAsia="Times New Roman" w:hAnsiTheme="minorHAnsi" w:cstheme="minorHAnsi"/>
                <w:b w:val="0"/>
                <w:lang w:val="en" w:eastAsia="en-AU"/>
              </w:rPr>
              <w:t xml:space="preserve"> — </w:t>
            </w:r>
            <w:r w:rsidR="00377412" w:rsidRPr="00377412">
              <w:rPr>
                <w:rFonts w:eastAsia="Times New Roman" w:cs="Arial"/>
                <w:b w:val="0"/>
                <w:szCs w:val="20"/>
                <w:lang w:val="en" w:eastAsia="en-AU"/>
              </w:rPr>
              <w:t>International</w:t>
            </w:r>
            <w:r w:rsidR="00377412" w:rsidRPr="003A672A">
              <w:rPr>
                <w:rFonts w:asciiTheme="minorHAnsi" w:eastAsia="Times New Roman" w:hAnsiTheme="minorHAnsi" w:cstheme="minorHAnsi"/>
                <w:b w:val="0"/>
                <w:lang w:val="en" w:eastAsia="en-AU"/>
              </w:rPr>
              <w:t xml:space="preserve"> Organization for Standardization</w:t>
            </w:r>
          </w:p>
        </w:tc>
        <w:tc>
          <w:tcPr>
            <w:tcW w:w="5669" w:type="dxa"/>
          </w:tcPr>
          <w:p w:rsidR="00377412" w:rsidRPr="00F10405" w:rsidRDefault="0003565F" w:rsidP="002A03A4">
            <w:pPr>
              <w:cnfStyle w:val="000000000000" w:firstRow="0" w:lastRow="0" w:firstColumn="0" w:lastColumn="0" w:oddVBand="0" w:evenVBand="0" w:oddHBand="0" w:evenHBand="0" w:firstRowFirstColumn="0" w:firstRowLastColumn="0" w:lastRowFirstColumn="0" w:lastRowLastColumn="0"/>
              <w:rPr>
                <w:rFonts w:cs="Arial"/>
                <w:szCs w:val="20"/>
              </w:rPr>
            </w:pPr>
            <w:hyperlink r:id="rId28" w:tooltip="International standard" w:history="1">
              <w:r w:rsidR="0013522F">
                <w:rPr>
                  <w:rFonts w:asciiTheme="minorHAnsi" w:hAnsiTheme="minorHAnsi" w:cstheme="minorHAnsi"/>
                  <w:lang w:val="en"/>
                </w:rPr>
                <w:t>I</w:t>
              </w:r>
              <w:r w:rsidR="00377412" w:rsidRPr="0013522F">
                <w:rPr>
                  <w:rFonts w:asciiTheme="minorHAnsi" w:hAnsiTheme="minorHAnsi" w:cstheme="minorHAnsi"/>
                  <w:lang w:val="en"/>
                </w:rPr>
                <w:t>nternational standard</w:t>
              </w:r>
            </w:hyperlink>
            <w:r w:rsidR="0013522F">
              <w:rPr>
                <w:rFonts w:asciiTheme="minorHAnsi" w:hAnsiTheme="minorHAnsi" w:cstheme="minorHAnsi"/>
                <w:lang w:val="en"/>
              </w:rPr>
              <w:t xml:space="preserve">s </w:t>
            </w:r>
            <w:r w:rsidR="00377412" w:rsidRPr="00576C7C">
              <w:rPr>
                <w:rFonts w:asciiTheme="minorHAnsi" w:hAnsiTheme="minorHAnsi" w:cstheme="minorHAnsi"/>
                <w:lang w:val="en"/>
              </w:rPr>
              <w:t xml:space="preserve">setting body </w:t>
            </w:r>
            <w:r w:rsidR="0013522F">
              <w:rPr>
                <w:rFonts w:asciiTheme="minorHAnsi" w:hAnsiTheme="minorHAnsi" w:cstheme="minorHAnsi"/>
                <w:lang w:val="en"/>
              </w:rPr>
              <w:t>with</w:t>
            </w:r>
            <w:r w:rsidR="00377412" w:rsidRPr="00576C7C">
              <w:rPr>
                <w:rFonts w:asciiTheme="minorHAnsi" w:hAnsiTheme="minorHAnsi" w:cstheme="minorHAnsi"/>
                <w:lang w:val="en"/>
              </w:rPr>
              <w:t xml:space="preserve"> representatives from national </w:t>
            </w:r>
            <w:hyperlink r:id="rId29" w:tooltip="Standards organizations" w:history="1">
              <w:r w:rsidR="00377412" w:rsidRPr="0013522F">
                <w:rPr>
                  <w:rFonts w:asciiTheme="minorHAnsi" w:hAnsiTheme="minorHAnsi" w:cstheme="minorHAnsi"/>
                  <w:lang w:val="en"/>
                </w:rPr>
                <w:t>standards organi</w:t>
              </w:r>
              <w:r w:rsidR="0013522F">
                <w:rPr>
                  <w:rFonts w:asciiTheme="minorHAnsi" w:hAnsiTheme="minorHAnsi" w:cstheme="minorHAnsi"/>
                  <w:lang w:val="en"/>
                </w:rPr>
                <w:t>s</w:t>
              </w:r>
              <w:r w:rsidR="00377412" w:rsidRPr="0013522F">
                <w:rPr>
                  <w:rFonts w:asciiTheme="minorHAnsi" w:hAnsiTheme="minorHAnsi" w:cstheme="minorHAnsi"/>
                  <w:lang w:val="en"/>
                </w:rPr>
                <w:t>ations</w:t>
              </w:r>
            </w:hyperlink>
            <w:r w:rsidR="0013522F">
              <w:rPr>
                <w:rFonts w:asciiTheme="minorHAnsi" w:hAnsiTheme="minorHAnsi" w:cstheme="minorHAnsi"/>
                <w:lang w:val="en"/>
              </w:rPr>
              <w:t xml:space="preserve"> including Standards Australia.</w:t>
            </w:r>
            <w:r w:rsidR="002A03A4">
              <w:rPr>
                <w:rFonts w:asciiTheme="minorHAnsi" w:hAnsiTheme="minorHAnsi" w:cstheme="minorHAnsi"/>
                <w:lang w:val="en"/>
              </w:rPr>
              <w:t xml:space="preserve"> </w:t>
            </w:r>
            <w:hyperlink r:id="rId30" w:history="1">
              <w:r w:rsidR="00377412" w:rsidRPr="003A672A">
                <w:rPr>
                  <w:rStyle w:val="Hyperlink"/>
                  <w:rFonts w:asciiTheme="minorHAnsi" w:hAnsiTheme="minorHAnsi" w:cstheme="minorHAnsi"/>
                  <w:sz w:val="20"/>
                  <w:szCs w:val="20"/>
                </w:rPr>
                <w:t>http://www.iso.org/iso/home.html</w:t>
              </w:r>
            </w:hyperlink>
          </w:p>
        </w:tc>
      </w:tr>
      <w:tr w:rsidR="00377412" w:rsidRPr="00F10405" w:rsidTr="002A03A4">
        <w:tc>
          <w:tcPr>
            <w:cnfStyle w:val="001000000000" w:firstRow="0" w:lastRow="0" w:firstColumn="1" w:lastColumn="0" w:oddVBand="0" w:evenVBand="0" w:oddHBand="0" w:evenHBand="0" w:firstRowFirstColumn="0" w:firstRowLastColumn="0" w:lastRowFirstColumn="0" w:lastRowLastColumn="0"/>
            <w:tcW w:w="2802" w:type="dxa"/>
            <w:vAlign w:val="top"/>
          </w:tcPr>
          <w:p w:rsidR="00377412" w:rsidRPr="003A672A" w:rsidRDefault="00377412" w:rsidP="00F80A7D">
            <w:pPr>
              <w:rPr>
                <w:rFonts w:asciiTheme="minorHAnsi" w:eastAsia="Times New Roman" w:hAnsiTheme="minorHAnsi" w:cstheme="minorHAnsi"/>
                <w:b w:val="0"/>
                <w:lang w:val="en"/>
              </w:rPr>
            </w:pPr>
            <w:r w:rsidRPr="00F10405">
              <w:rPr>
                <w:rFonts w:eastAsia="Times New Roman" w:cs="Arial"/>
                <w:b w:val="0"/>
                <w:szCs w:val="20"/>
                <w:lang w:val="en"/>
              </w:rPr>
              <w:t xml:space="preserve">UL </w:t>
            </w:r>
            <w:r w:rsidR="008B4A5F" w:rsidRPr="003A672A">
              <w:rPr>
                <w:rFonts w:asciiTheme="minorHAnsi" w:eastAsia="Times New Roman" w:hAnsiTheme="minorHAnsi" w:cstheme="minorHAnsi"/>
                <w:b w:val="0"/>
                <w:lang w:val="en" w:eastAsia="en-AU"/>
              </w:rPr>
              <w:t>—</w:t>
            </w:r>
            <w:r w:rsidRPr="00F10405">
              <w:rPr>
                <w:rFonts w:eastAsia="Times New Roman" w:cs="Arial"/>
                <w:b w:val="0"/>
                <w:szCs w:val="20"/>
                <w:lang w:val="en"/>
              </w:rPr>
              <w:t xml:space="preserve"> </w:t>
            </w:r>
            <w:r w:rsidRPr="00F10405">
              <w:rPr>
                <w:rFonts w:eastAsia="Times New Roman" w:cs="Arial"/>
                <w:b w:val="0"/>
                <w:szCs w:val="20"/>
                <w:lang w:val="en" w:eastAsia="en-AU"/>
              </w:rPr>
              <w:t>Underwriters</w:t>
            </w:r>
            <w:r w:rsidRPr="00F10405">
              <w:rPr>
                <w:rFonts w:eastAsia="Times New Roman" w:cs="Arial"/>
                <w:b w:val="0"/>
                <w:szCs w:val="20"/>
                <w:lang w:val="en"/>
              </w:rPr>
              <w:t xml:space="preserve"> Laborator</w:t>
            </w:r>
            <w:r w:rsidR="00F80A7D">
              <w:rPr>
                <w:rFonts w:eastAsia="Times New Roman" w:cs="Arial"/>
                <w:b w:val="0"/>
                <w:szCs w:val="20"/>
                <w:lang w:val="en"/>
              </w:rPr>
              <w:t>ies</w:t>
            </w:r>
          </w:p>
        </w:tc>
        <w:tc>
          <w:tcPr>
            <w:tcW w:w="5669" w:type="dxa"/>
            <w:vAlign w:val="top"/>
          </w:tcPr>
          <w:p w:rsidR="00377412" w:rsidRPr="003A672A" w:rsidRDefault="0013522F" w:rsidP="002A03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cs="Arial"/>
                <w:szCs w:val="20"/>
              </w:rPr>
              <w:t>US electrical standards body e</w:t>
            </w:r>
            <w:r w:rsidR="00377412" w:rsidRPr="00F10405">
              <w:rPr>
                <w:rFonts w:cs="Arial"/>
                <w:szCs w:val="20"/>
              </w:rPr>
              <w:t>stablished 1894.</w:t>
            </w:r>
            <w:r w:rsidR="002A03A4">
              <w:rPr>
                <w:rFonts w:cs="Arial"/>
                <w:szCs w:val="20"/>
              </w:rPr>
              <w:t xml:space="preserve"> </w:t>
            </w:r>
            <w:hyperlink r:id="rId31" w:history="1">
              <w:r w:rsidR="00377412" w:rsidRPr="00F10405">
                <w:rPr>
                  <w:rStyle w:val="Hyperlink"/>
                  <w:rFonts w:cs="Arial"/>
                  <w:sz w:val="20"/>
                  <w:szCs w:val="20"/>
                </w:rPr>
                <w:t>http://www.ul.com/aboutul/history/</w:t>
              </w:r>
            </w:hyperlink>
          </w:p>
        </w:tc>
      </w:tr>
    </w:tbl>
    <w:p w:rsidR="00722B21" w:rsidRPr="0003565F" w:rsidRDefault="00F80A7D" w:rsidP="002A03A4">
      <w:pPr>
        <w:rPr>
          <w:b/>
        </w:rPr>
      </w:pPr>
      <w:bookmarkStart w:id="10" w:name="_GoBack"/>
      <w:r w:rsidRPr="0003565F">
        <w:rPr>
          <w:b/>
        </w:rPr>
        <w:t xml:space="preserve">NOTE: </w:t>
      </w:r>
      <w:r w:rsidR="002A03A4" w:rsidRPr="0003565F">
        <w:rPr>
          <w:b/>
        </w:rPr>
        <w:t>A</w:t>
      </w:r>
      <w:r w:rsidRPr="0003565F">
        <w:rPr>
          <w:b/>
        </w:rPr>
        <w:t xml:space="preserve"> list of prescribed associations will not change the process for developing or declaring a</w:t>
      </w:r>
      <w:r w:rsidR="009C1F32" w:rsidRPr="0003565F">
        <w:rPr>
          <w:b/>
        </w:rPr>
        <w:t>n enforceable</w:t>
      </w:r>
      <w:r w:rsidRPr="0003565F">
        <w:rPr>
          <w:b/>
        </w:rPr>
        <w:t xml:space="preserve"> safety standard.</w:t>
      </w:r>
    </w:p>
    <w:bookmarkEnd w:id="10"/>
    <w:p w:rsidR="00BA5801" w:rsidRDefault="00BA5801" w:rsidP="002A03A4"/>
    <w:p w:rsidR="00BA5801" w:rsidRDefault="00BA5801" w:rsidP="002A03A4"/>
    <w:p w:rsidR="006E00A6" w:rsidRPr="00A10606" w:rsidRDefault="006E00A6" w:rsidP="006E00A6">
      <w:pPr>
        <w:pStyle w:val="Numbered1"/>
      </w:pPr>
      <w:r>
        <w:t>Comment</w:t>
      </w:r>
    </w:p>
    <w:p w:rsidR="002837DB" w:rsidRDefault="002837DB" w:rsidP="002837DB">
      <w:r>
        <w:t xml:space="preserve">The ACCC invites stakeholders to comment on the </w:t>
      </w:r>
      <w:r w:rsidR="00722B21">
        <w:t>following questions</w:t>
      </w:r>
      <w:r>
        <w:t xml:space="preserve">. </w:t>
      </w:r>
    </w:p>
    <w:p w:rsidR="004747AF" w:rsidRDefault="00D8077C" w:rsidP="00D8077C">
      <w:pPr>
        <w:pStyle w:val="ListParagraph"/>
        <w:numPr>
          <w:ilvl w:val="0"/>
          <w:numId w:val="43"/>
        </w:numPr>
        <w:pBdr>
          <w:top w:val="single" w:sz="4" w:space="1" w:color="auto"/>
          <w:left w:val="single" w:sz="4" w:space="4" w:color="auto"/>
          <w:bottom w:val="single" w:sz="4" w:space="1" w:color="auto"/>
          <w:right w:val="single" w:sz="4" w:space="4" w:color="auto"/>
        </w:pBdr>
        <w:spacing w:before="240" w:after="240"/>
        <w:ind w:left="714" w:hanging="357"/>
      </w:pPr>
      <w:r>
        <w:t xml:space="preserve">Are the standards </w:t>
      </w:r>
      <w:r w:rsidR="004747AF">
        <w:t xml:space="preserve">associations on the </w:t>
      </w:r>
      <w:r w:rsidR="00DE5168">
        <w:t xml:space="preserve">proposed </w:t>
      </w:r>
      <w:r w:rsidR="004747AF">
        <w:t>list acceptable?</w:t>
      </w:r>
      <w:r>
        <w:t xml:space="preserve"> </w:t>
      </w:r>
      <w:r w:rsidR="00DE5168">
        <w:t>If not, please say why.</w:t>
      </w:r>
    </w:p>
    <w:p w:rsidR="004747AF" w:rsidRDefault="004747AF" w:rsidP="00D8077C">
      <w:pPr>
        <w:pStyle w:val="ListParagraph"/>
        <w:numPr>
          <w:ilvl w:val="0"/>
          <w:numId w:val="43"/>
        </w:numPr>
        <w:pBdr>
          <w:top w:val="single" w:sz="4" w:space="1" w:color="auto"/>
          <w:left w:val="single" w:sz="4" w:space="4" w:color="auto"/>
          <w:bottom w:val="single" w:sz="4" w:space="1" w:color="auto"/>
          <w:right w:val="single" w:sz="4" w:space="4" w:color="auto"/>
        </w:pBdr>
        <w:spacing w:before="240" w:after="240"/>
        <w:ind w:left="714" w:hanging="357"/>
      </w:pPr>
      <w:r>
        <w:t xml:space="preserve">Should </w:t>
      </w:r>
      <w:r w:rsidR="009B4CD5">
        <w:t xml:space="preserve">any </w:t>
      </w:r>
      <w:r>
        <w:t>other associations be included</w:t>
      </w:r>
      <w:r w:rsidR="003C65D8">
        <w:t>?</w:t>
      </w:r>
    </w:p>
    <w:p w:rsidR="003C65D8" w:rsidRDefault="00D8077C" w:rsidP="00D8077C">
      <w:pPr>
        <w:pStyle w:val="ListParagraph"/>
        <w:numPr>
          <w:ilvl w:val="0"/>
          <w:numId w:val="43"/>
        </w:numPr>
        <w:pBdr>
          <w:top w:val="single" w:sz="4" w:space="1" w:color="auto"/>
          <w:left w:val="single" w:sz="4" w:space="4" w:color="auto"/>
          <w:bottom w:val="single" w:sz="4" w:space="1" w:color="auto"/>
          <w:right w:val="single" w:sz="4" w:space="4" w:color="auto"/>
        </w:pBdr>
        <w:spacing w:before="240" w:after="240"/>
        <w:ind w:left="714" w:hanging="357"/>
      </w:pPr>
      <w:r>
        <w:t>Do you have comments on</w:t>
      </w:r>
      <w:r w:rsidR="003C65D8">
        <w:t xml:space="preserve"> the criteria for including an association?</w:t>
      </w:r>
      <w:r w:rsidR="00C15E17">
        <w:br/>
      </w:r>
    </w:p>
    <w:p w:rsidR="004747AF" w:rsidRDefault="004747AF" w:rsidP="002837DB"/>
    <w:p w:rsidR="002837DB" w:rsidRDefault="00722B21" w:rsidP="002837DB">
      <w:r>
        <w:t>The ACCC will consider the s</w:t>
      </w:r>
      <w:r w:rsidR="002837DB">
        <w:t>ubmissions before pr</w:t>
      </w:r>
      <w:r w:rsidR="00234E35">
        <w:t>epar</w:t>
      </w:r>
      <w:r>
        <w:t>ing</w:t>
      </w:r>
      <w:r w:rsidR="00234E35">
        <w:t xml:space="preserve"> advice to the Minister.</w:t>
      </w:r>
    </w:p>
    <w:p w:rsidR="002837DB" w:rsidRDefault="00C15E17" w:rsidP="00193791">
      <w:pPr>
        <w:pBdr>
          <w:top w:val="single" w:sz="4" w:space="1" w:color="auto"/>
          <w:left w:val="single" w:sz="4" w:space="4" w:color="auto"/>
          <w:bottom w:val="single" w:sz="4" w:space="1" w:color="auto"/>
          <w:right w:val="single" w:sz="4" w:space="4" w:color="auto"/>
        </w:pBdr>
        <w:ind w:left="340"/>
      </w:pPr>
      <w:r>
        <w:br/>
      </w:r>
      <w:r w:rsidRPr="00C15E17">
        <w:t>Please email s</w:t>
      </w:r>
      <w:r w:rsidR="002837DB" w:rsidRPr="00C15E17">
        <w:t xml:space="preserve">ubmissions by close of business, </w:t>
      </w:r>
      <w:r w:rsidR="00DE5168">
        <w:rPr>
          <w:highlight w:val="yellow"/>
        </w:rPr>
        <w:t xml:space="preserve">Tuesday 7 </w:t>
      </w:r>
      <w:r w:rsidRPr="00C15E17">
        <w:rPr>
          <w:highlight w:val="yellow"/>
        </w:rPr>
        <w:t>June</w:t>
      </w:r>
      <w:r w:rsidR="002837DB" w:rsidRPr="00C15E17">
        <w:rPr>
          <w:highlight w:val="yellow"/>
        </w:rPr>
        <w:t xml:space="preserve"> 2016</w:t>
      </w:r>
      <w:r w:rsidR="002837DB" w:rsidRPr="00C15E17">
        <w:t xml:space="preserve">, </w:t>
      </w:r>
      <w:r w:rsidRPr="00C15E17">
        <w:t>to</w:t>
      </w:r>
      <w:r>
        <w:t xml:space="preserve"> </w:t>
      </w:r>
      <w:hyperlink r:id="rId32" w:history="1">
        <w:r w:rsidR="00722B21" w:rsidRPr="005C377A">
          <w:rPr>
            <w:rStyle w:val="Hyperlink"/>
          </w:rPr>
          <w:t>productsafety.regulation@accc.gov.au</w:t>
        </w:r>
      </w:hyperlink>
      <w:r w:rsidRPr="00C15E17">
        <w:rPr>
          <w:rStyle w:val="Hyperlink"/>
          <w:color w:val="auto"/>
          <w:u w:val="none"/>
        </w:rPr>
        <w:t>.</w:t>
      </w:r>
      <w:r w:rsidR="00722B21">
        <w:t xml:space="preserve"> </w:t>
      </w:r>
      <w:r>
        <w:br/>
      </w:r>
    </w:p>
    <w:p w:rsidR="002837DB" w:rsidRDefault="002837DB" w:rsidP="002837DB"/>
    <w:p w:rsidR="002837DB" w:rsidRDefault="002837DB" w:rsidP="002837DB">
      <w:r>
        <w:t xml:space="preserve">Alternatively, </w:t>
      </w:r>
      <w:r w:rsidR="00E71552">
        <w:t xml:space="preserve">you can mail </w:t>
      </w:r>
      <w:r>
        <w:t>submissions to:</w:t>
      </w:r>
    </w:p>
    <w:p w:rsidR="002837DB" w:rsidRDefault="002837DB" w:rsidP="002837DB">
      <w:r>
        <w:t>Director</w:t>
      </w:r>
    </w:p>
    <w:p w:rsidR="002837DB" w:rsidRDefault="002837DB" w:rsidP="002837DB">
      <w:r>
        <w:t>Standards, Policy and Liaison</w:t>
      </w:r>
    </w:p>
    <w:p w:rsidR="002837DB" w:rsidRDefault="002837DB" w:rsidP="002837DB">
      <w:r>
        <w:t>Consumer Product Safety Branch</w:t>
      </w:r>
    </w:p>
    <w:p w:rsidR="002837DB" w:rsidRDefault="002837DB" w:rsidP="002837DB">
      <w:r>
        <w:t>Australian Competition and Consumer Commission</w:t>
      </w:r>
    </w:p>
    <w:p w:rsidR="002837DB" w:rsidRDefault="002837DB" w:rsidP="002837DB">
      <w:r>
        <w:t>GPO Box 3131</w:t>
      </w:r>
    </w:p>
    <w:p w:rsidR="002837DB" w:rsidRDefault="002837DB" w:rsidP="002837DB">
      <w:r>
        <w:t>CANBERRA   ACT   2601</w:t>
      </w:r>
    </w:p>
    <w:p w:rsidR="00C15E17" w:rsidRDefault="00C15E17" w:rsidP="002837DB"/>
    <w:p w:rsidR="002837DB" w:rsidRDefault="002837DB" w:rsidP="002837DB">
      <w:r>
        <w:t xml:space="preserve">If the information </w:t>
      </w:r>
      <w:r w:rsidR="00E71552">
        <w:t xml:space="preserve">you </w:t>
      </w:r>
      <w:r>
        <w:t xml:space="preserve">provide is of a confidential nature, </w:t>
      </w:r>
      <w:r w:rsidR="00E71552">
        <w:t xml:space="preserve">we assure you </w:t>
      </w:r>
      <w:r>
        <w:t xml:space="preserve">that </w:t>
      </w:r>
      <w:r w:rsidR="00E71552">
        <w:t xml:space="preserve">we will treat </w:t>
      </w:r>
      <w:r>
        <w:t xml:space="preserve">the details </w:t>
      </w:r>
      <w:r w:rsidR="00E71552">
        <w:t xml:space="preserve">you </w:t>
      </w:r>
      <w:r>
        <w:t xml:space="preserve">provided confidentially. That is, the ACCC will not disclose the confidential information to third parties, other than advisors or consultants engaged directly by the ACCC, without first providing you with notice of its intention to do so, such as where it is compelled to do so by law. Please note that any </w:t>
      </w:r>
      <w:r w:rsidR="00E71552">
        <w:t>information that you believe to be of a confidential nature</w:t>
      </w:r>
      <w:r>
        <w:t xml:space="preserve"> should be clearly marked or identified as confidential. </w:t>
      </w:r>
    </w:p>
    <w:p w:rsidR="00A10606" w:rsidRPr="00355A7C" w:rsidRDefault="002837DB" w:rsidP="002837DB">
      <w:r>
        <w:t> </w:t>
      </w:r>
    </w:p>
    <w:sectPr w:rsidR="00A10606" w:rsidRPr="00355A7C" w:rsidSect="00C06739">
      <w:footerReference w:type="default" r:id="rId33"/>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39" w:rsidRDefault="00614A39" w:rsidP="004B4412">
      <w:pPr>
        <w:spacing w:before="0"/>
      </w:pPr>
      <w:r>
        <w:separator/>
      </w:r>
    </w:p>
  </w:endnote>
  <w:endnote w:type="continuationSeparator" w:id="0">
    <w:p w:rsidR="00614A39" w:rsidRDefault="00614A39"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2E" w:rsidRPr="000E3A2E" w:rsidRDefault="000E3A2E" w:rsidP="000E3A2E">
    <w:pPr>
      <w:tabs>
        <w:tab w:val="center" w:pos="4513"/>
        <w:tab w:val="right" w:pos="8505"/>
      </w:tabs>
      <w:spacing w:after="120" w:line="276" w:lineRule="auto"/>
      <w:rPr>
        <w:color w:val="51626F" w:themeColor="accent1"/>
        <w:sz w:val="18"/>
      </w:rPr>
    </w:pPr>
    <w:r w:rsidRPr="000E3A2E">
      <w:rPr>
        <w:color w:val="51626F" w:themeColor="accent1"/>
        <w:sz w:val="18"/>
      </w:rPr>
      <w:fldChar w:fldCharType="begin"/>
    </w:r>
    <w:r w:rsidRPr="000E3A2E">
      <w:rPr>
        <w:color w:val="51626F" w:themeColor="accent1"/>
        <w:sz w:val="18"/>
      </w:rPr>
      <w:instrText xml:space="preserve"> STYLEREF  Title  \* MERGEFORMAT </w:instrText>
    </w:r>
    <w:r w:rsidRPr="000E3A2E">
      <w:rPr>
        <w:noProof/>
        <w:color w:val="51626F" w:themeColor="accent1"/>
        <w:sz w:val="18"/>
      </w:rPr>
      <w:fldChar w:fldCharType="end"/>
    </w:r>
    <w:r w:rsidRPr="000E3A2E">
      <w:rPr>
        <w:color w:val="51626F" w:themeColor="accent1"/>
        <w:sz w:val="18"/>
      </w:rPr>
      <w:tab/>
    </w:r>
    <w:r w:rsidRPr="000E3A2E">
      <w:rPr>
        <w:color w:val="51626F" w:themeColor="accent1"/>
        <w:sz w:val="18"/>
      </w:rPr>
      <w:tab/>
    </w:r>
    <w:r w:rsidRPr="000E3A2E">
      <w:rPr>
        <w:color w:val="51626F" w:themeColor="accent1"/>
        <w:sz w:val="18"/>
      </w:rPr>
      <w:fldChar w:fldCharType="begin"/>
    </w:r>
    <w:r w:rsidRPr="000E3A2E">
      <w:rPr>
        <w:color w:val="51626F" w:themeColor="accent1"/>
        <w:sz w:val="18"/>
      </w:rPr>
      <w:instrText xml:space="preserve"> PAGE   \* MERGEFORMAT </w:instrText>
    </w:r>
    <w:r w:rsidRPr="000E3A2E">
      <w:rPr>
        <w:color w:val="51626F" w:themeColor="accent1"/>
        <w:sz w:val="18"/>
      </w:rPr>
      <w:fldChar w:fldCharType="separate"/>
    </w:r>
    <w:r w:rsidR="0003565F">
      <w:rPr>
        <w:noProof/>
        <w:color w:val="51626F" w:themeColor="accent1"/>
        <w:sz w:val="18"/>
      </w:rPr>
      <w:t>3</w:t>
    </w:r>
    <w:r w:rsidRPr="000E3A2E">
      <w:rPr>
        <w:color w:val="51626F" w:themeColor="accent1"/>
        <w:sz w:val="18"/>
      </w:rPr>
      <w:fldChar w:fldCharType="end"/>
    </w:r>
  </w:p>
  <w:p w:rsidR="000E3A2E" w:rsidRPr="000E3A2E" w:rsidRDefault="000E3A2E" w:rsidP="000E3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39" w:rsidRDefault="00614A39" w:rsidP="004B4412">
      <w:pPr>
        <w:spacing w:before="0"/>
      </w:pPr>
      <w:r>
        <w:separator/>
      </w:r>
    </w:p>
  </w:footnote>
  <w:footnote w:type="continuationSeparator" w:id="0">
    <w:p w:rsidR="00614A39" w:rsidRDefault="00614A39" w:rsidP="004B4412">
      <w:pPr>
        <w:spacing w:before="0"/>
      </w:pPr>
      <w:r>
        <w:continuationSeparator/>
      </w:r>
    </w:p>
  </w:footnote>
  <w:footnote w:id="1">
    <w:p w:rsidR="00491CA2" w:rsidRDefault="00491CA2" w:rsidP="00491CA2">
      <w:pPr>
        <w:pStyle w:val="FootnoteText"/>
      </w:pPr>
      <w:r>
        <w:rPr>
          <w:rStyle w:val="FootnoteReference"/>
        </w:rPr>
        <w:footnoteRef/>
      </w:r>
      <w:r>
        <w:t xml:space="preserve"> </w:t>
      </w:r>
      <w:hyperlink r:id="rId1" w:history="1">
        <w:r w:rsidRPr="005E49E7">
          <w:rPr>
            <w:rStyle w:val="Hyperlink"/>
          </w:rPr>
          <w:t>http://www.productsafety.gov.au/content/index.phtml/itemId/1014180</w:t>
        </w:r>
      </w:hyperlink>
      <w:r>
        <w:rPr>
          <w:rStyle w:val="Hyperlink"/>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8FD0702"/>
    <w:multiLevelType w:val="multilevel"/>
    <w:tmpl w:val="4208B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F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0426A9F"/>
    <w:multiLevelType w:val="hybridMultilevel"/>
    <w:tmpl w:val="64EC1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nsid w:val="14E24382"/>
    <w:multiLevelType w:val="hybridMultilevel"/>
    <w:tmpl w:val="38FC6618"/>
    <w:lvl w:ilvl="0" w:tplc="0C090001">
      <w:start w:val="1"/>
      <w:numFmt w:val="bullet"/>
      <w:lvlText w:val=""/>
      <w:lvlJc w:val="left"/>
      <w:pPr>
        <w:ind w:left="720" w:hanging="360"/>
      </w:pPr>
      <w:rPr>
        <w:rFonts w:ascii="Symbol" w:hAnsi="Symbol" w:hint="default"/>
      </w:rPr>
    </w:lvl>
    <w:lvl w:ilvl="1" w:tplc="2FB8F45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nsid w:val="1ACF3885"/>
    <w:multiLevelType w:val="hybridMultilevel"/>
    <w:tmpl w:val="0EFAC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CF519CE"/>
    <w:multiLevelType w:val="multilevel"/>
    <w:tmpl w:val="65B8C7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7">
    <w:nsid w:val="1F815ACC"/>
    <w:multiLevelType w:val="hybridMultilevel"/>
    <w:tmpl w:val="81E0FA9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8">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1">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3C7A31"/>
    <w:multiLevelType w:val="multilevel"/>
    <w:tmpl w:val="0A4C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4">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6">
    <w:nsid w:val="5A397329"/>
    <w:multiLevelType w:val="hybridMultilevel"/>
    <w:tmpl w:val="8686657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7">
    <w:nsid w:val="5E9E16CE"/>
    <w:multiLevelType w:val="hybridMultilevel"/>
    <w:tmpl w:val="0D609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1">
    <w:nsid w:val="6AF223D7"/>
    <w:multiLevelType w:val="hybridMultilevel"/>
    <w:tmpl w:val="6CC2C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4">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5">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6">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7">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7"/>
  </w:num>
  <w:num w:numId="3">
    <w:abstractNumId w:val="7"/>
  </w:num>
  <w:num w:numId="4">
    <w:abstractNumId w:val="6"/>
  </w:num>
  <w:num w:numId="5">
    <w:abstractNumId w:val="5"/>
  </w:num>
  <w:num w:numId="6">
    <w:abstractNumId w:val="4"/>
  </w:num>
  <w:num w:numId="7">
    <w:abstractNumId w:val="1"/>
  </w:num>
  <w:num w:numId="8">
    <w:abstractNumId w:val="0"/>
  </w:num>
  <w:num w:numId="9">
    <w:abstractNumId w:val="30"/>
  </w:num>
  <w:num w:numId="10">
    <w:abstractNumId w:val="21"/>
  </w:num>
  <w:num w:numId="11">
    <w:abstractNumId w:val="10"/>
  </w:num>
  <w:num w:numId="12">
    <w:abstractNumId w:val="16"/>
  </w:num>
  <w:num w:numId="13">
    <w:abstractNumId w:val="20"/>
  </w:num>
  <w:num w:numId="14">
    <w:abstractNumId w:val="2"/>
  </w:num>
  <w:num w:numId="15">
    <w:abstractNumId w:val="33"/>
  </w:num>
  <w:num w:numId="16">
    <w:abstractNumId w:val="36"/>
  </w:num>
  <w:num w:numId="17">
    <w:abstractNumId w:val="35"/>
  </w:num>
  <w:num w:numId="18">
    <w:abstractNumId w:val="25"/>
  </w:num>
  <w:num w:numId="19">
    <w:abstractNumId w:val="18"/>
  </w:num>
  <w:num w:numId="20">
    <w:abstractNumId w:val="23"/>
  </w:num>
  <w:num w:numId="21">
    <w:abstractNumId w:val="34"/>
  </w:num>
  <w:num w:numId="22">
    <w:abstractNumId w:val="28"/>
  </w:num>
  <w:num w:numId="23">
    <w:abstractNumId w:val="8"/>
  </w:num>
  <w:num w:numId="24">
    <w:abstractNumId w:val="3"/>
  </w:num>
  <w:num w:numId="25">
    <w:abstractNumId w:val="24"/>
  </w:num>
  <w:num w:numId="26">
    <w:abstractNumId w:val="14"/>
  </w:num>
  <w:num w:numId="27">
    <w:abstractNumId w:val="29"/>
  </w:num>
  <w:num w:numId="28">
    <w:abstractNumId w:val="28"/>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
    <w:lvlOverride w:ilvl="0">
      <w:startOverride w:val="1"/>
    </w:lvlOverride>
  </w:num>
  <w:num w:numId="32">
    <w:abstractNumId w:val="32"/>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abstractNumId w:val="19"/>
  </w:num>
  <w:num w:numId="34">
    <w:abstractNumId w:val="2"/>
    <w:lvlOverride w:ilvl="0">
      <w:startOverride w:val="1"/>
    </w:lvlOverride>
  </w:num>
  <w:num w:numId="35">
    <w:abstractNumId w:val="13"/>
  </w:num>
  <w:num w:numId="36">
    <w:abstractNumId w:val="15"/>
  </w:num>
  <w:num w:numId="37">
    <w:abstractNumId w:val="31"/>
  </w:num>
  <w:num w:numId="38">
    <w:abstractNumId w:val="27"/>
  </w:num>
  <w:num w:numId="39">
    <w:abstractNumId w:val="26"/>
  </w:num>
  <w:num w:numId="40">
    <w:abstractNumId w:val="22"/>
  </w:num>
  <w:num w:numId="41">
    <w:abstractNumId w:val="17"/>
  </w:num>
  <w:num w:numId="42">
    <w:abstractNumId w:val="9"/>
  </w:num>
  <w:num w:numId="4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8320\D15 107243  PS - PES - ACCC policy principle - International standards for the safety of consumer products - criteria for acceptance [website version].DOCX"/>
  </w:docVars>
  <w:rsids>
    <w:rsidRoot w:val="00614A39"/>
    <w:rsid w:val="0002115F"/>
    <w:rsid w:val="00021202"/>
    <w:rsid w:val="000225C4"/>
    <w:rsid w:val="0003565F"/>
    <w:rsid w:val="0003578C"/>
    <w:rsid w:val="00045E44"/>
    <w:rsid w:val="00063247"/>
    <w:rsid w:val="00063C26"/>
    <w:rsid w:val="00070F9F"/>
    <w:rsid w:val="0007137B"/>
    <w:rsid w:val="00085663"/>
    <w:rsid w:val="00085EBF"/>
    <w:rsid w:val="00093424"/>
    <w:rsid w:val="000C7E17"/>
    <w:rsid w:val="000D122C"/>
    <w:rsid w:val="000E1819"/>
    <w:rsid w:val="000E3A2E"/>
    <w:rsid w:val="000E6C72"/>
    <w:rsid w:val="000F2368"/>
    <w:rsid w:val="00106EEA"/>
    <w:rsid w:val="00116EB2"/>
    <w:rsid w:val="00124609"/>
    <w:rsid w:val="0013522F"/>
    <w:rsid w:val="00140979"/>
    <w:rsid w:val="00144C02"/>
    <w:rsid w:val="001573E4"/>
    <w:rsid w:val="00160756"/>
    <w:rsid w:val="0017232E"/>
    <w:rsid w:val="00174102"/>
    <w:rsid w:val="00180157"/>
    <w:rsid w:val="00181223"/>
    <w:rsid w:val="00186F77"/>
    <w:rsid w:val="001926A4"/>
    <w:rsid w:val="00193791"/>
    <w:rsid w:val="001948CA"/>
    <w:rsid w:val="001A6ACE"/>
    <w:rsid w:val="001B45A0"/>
    <w:rsid w:val="001C18EE"/>
    <w:rsid w:val="001D055E"/>
    <w:rsid w:val="001F492E"/>
    <w:rsid w:val="001F6DA3"/>
    <w:rsid w:val="00212737"/>
    <w:rsid w:val="00224DB9"/>
    <w:rsid w:val="00234E35"/>
    <w:rsid w:val="002443D3"/>
    <w:rsid w:val="00251745"/>
    <w:rsid w:val="00263AC0"/>
    <w:rsid w:val="0026772D"/>
    <w:rsid w:val="00276280"/>
    <w:rsid w:val="002837DB"/>
    <w:rsid w:val="00286874"/>
    <w:rsid w:val="00286FC1"/>
    <w:rsid w:val="00296B65"/>
    <w:rsid w:val="00296EC9"/>
    <w:rsid w:val="002A03A4"/>
    <w:rsid w:val="002A7DEF"/>
    <w:rsid w:val="002B01D6"/>
    <w:rsid w:val="002F7986"/>
    <w:rsid w:val="00303C4A"/>
    <w:rsid w:val="00307F6D"/>
    <w:rsid w:val="00315EE8"/>
    <w:rsid w:val="003177A2"/>
    <w:rsid w:val="003271B5"/>
    <w:rsid w:val="00331264"/>
    <w:rsid w:val="00334C8D"/>
    <w:rsid w:val="00340655"/>
    <w:rsid w:val="003459E6"/>
    <w:rsid w:val="003518B3"/>
    <w:rsid w:val="00355A7C"/>
    <w:rsid w:val="00377412"/>
    <w:rsid w:val="003846F1"/>
    <w:rsid w:val="003A672A"/>
    <w:rsid w:val="003A673F"/>
    <w:rsid w:val="003B5A70"/>
    <w:rsid w:val="003C65D8"/>
    <w:rsid w:val="003E68F8"/>
    <w:rsid w:val="00406314"/>
    <w:rsid w:val="00414DD6"/>
    <w:rsid w:val="00426ECA"/>
    <w:rsid w:val="004321ED"/>
    <w:rsid w:val="004646D9"/>
    <w:rsid w:val="004747AF"/>
    <w:rsid w:val="00475DDE"/>
    <w:rsid w:val="00480B4B"/>
    <w:rsid w:val="00485DC4"/>
    <w:rsid w:val="00491CA2"/>
    <w:rsid w:val="004B4412"/>
    <w:rsid w:val="004C348C"/>
    <w:rsid w:val="004D55BA"/>
    <w:rsid w:val="004D7109"/>
    <w:rsid w:val="004F53BC"/>
    <w:rsid w:val="005038DB"/>
    <w:rsid w:val="00530128"/>
    <w:rsid w:val="00532467"/>
    <w:rsid w:val="00547CCF"/>
    <w:rsid w:val="00554D7E"/>
    <w:rsid w:val="00564A4D"/>
    <w:rsid w:val="00571B35"/>
    <w:rsid w:val="00571C9F"/>
    <w:rsid w:val="00577A09"/>
    <w:rsid w:val="00584D8F"/>
    <w:rsid w:val="00591089"/>
    <w:rsid w:val="00596D42"/>
    <w:rsid w:val="005A404D"/>
    <w:rsid w:val="005B1E3C"/>
    <w:rsid w:val="005C26CC"/>
    <w:rsid w:val="005D4C34"/>
    <w:rsid w:val="005E2B55"/>
    <w:rsid w:val="005E6C0E"/>
    <w:rsid w:val="005E76E6"/>
    <w:rsid w:val="00614A39"/>
    <w:rsid w:val="00615C6B"/>
    <w:rsid w:val="00621978"/>
    <w:rsid w:val="00632D6D"/>
    <w:rsid w:val="00642C3E"/>
    <w:rsid w:val="00653D1B"/>
    <w:rsid w:val="00663DAD"/>
    <w:rsid w:val="00676679"/>
    <w:rsid w:val="00687F39"/>
    <w:rsid w:val="006B4CF9"/>
    <w:rsid w:val="006B7AC8"/>
    <w:rsid w:val="006D550F"/>
    <w:rsid w:val="006D77F3"/>
    <w:rsid w:val="006E00A6"/>
    <w:rsid w:val="006F0723"/>
    <w:rsid w:val="00701CAB"/>
    <w:rsid w:val="00707563"/>
    <w:rsid w:val="00722B21"/>
    <w:rsid w:val="0072348C"/>
    <w:rsid w:val="00724A37"/>
    <w:rsid w:val="007303C3"/>
    <w:rsid w:val="00743223"/>
    <w:rsid w:val="00746E01"/>
    <w:rsid w:val="00763E5D"/>
    <w:rsid w:val="00767740"/>
    <w:rsid w:val="00777EE6"/>
    <w:rsid w:val="00782EEA"/>
    <w:rsid w:val="00794E38"/>
    <w:rsid w:val="007B2C72"/>
    <w:rsid w:val="007C1C53"/>
    <w:rsid w:val="007C2AA0"/>
    <w:rsid w:val="007D3CF9"/>
    <w:rsid w:val="007E26A9"/>
    <w:rsid w:val="007E4904"/>
    <w:rsid w:val="007E4CB5"/>
    <w:rsid w:val="007F066B"/>
    <w:rsid w:val="008033C4"/>
    <w:rsid w:val="00806C88"/>
    <w:rsid w:val="0081034E"/>
    <w:rsid w:val="008344F6"/>
    <w:rsid w:val="0083510F"/>
    <w:rsid w:val="00851209"/>
    <w:rsid w:val="0088007E"/>
    <w:rsid w:val="008837AC"/>
    <w:rsid w:val="008908F0"/>
    <w:rsid w:val="008931C6"/>
    <w:rsid w:val="008945B4"/>
    <w:rsid w:val="008A587D"/>
    <w:rsid w:val="008B4A5F"/>
    <w:rsid w:val="008C5486"/>
    <w:rsid w:val="008E7031"/>
    <w:rsid w:val="008E78EE"/>
    <w:rsid w:val="00922C95"/>
    <w:rsid w:val="009233EE"/>
    <w:rsid w:val="009361CC"/>
    <w:rsid w:val="00947BBA"/>
    <w:rsid w:val="009661DE"/>
    <w:rsid w:val="009712B4"/>
    <w:rsid w:val="00973D8D"/>
    <w:rsid w:val="00977258"/>
    <w:rsid w:val="009856B7"/>
    <w:rsid w:val="0098602B"/>
    <w:rsid w:val="00991B3B"/>
    <w:rsid w:val="009962BA"/>
    <w:rsid w:val="009A07EB"/>
    <w:rsid w:val="009B41E1"/>
    <w:rsid w:val="009B452D"/>
    <w:rsid w:val="009B4CD5"/>
    <w:rsid w:val="009B74B0"/>
    <w:rsid w:val="009C1F32"/>
    <w:rsid w:val="009D4414"/>
    <w:rsid w:val="009D6B46"/>
    <w:rsid w:val="009F2BE5"/>
    <w:rsid w:val="009F4940"/>
    <w:rsid w:val="00A10606"/>
    <w:rsid w:val="00A12B28"/>
    <w:rsid w:val="00A1665B"/>
    <w:rsid w:val="00A33783"/>
    <w:rsid w:val="00A4478A"/>
    <w:rsid w:val="00A44852"/>
    <w:rsid w:val="00A57D04"/>
    <w:rsid w:val="00A60A26"/>
    <w:rsid w:val="00A61598"/>
    <w:rsid w:val="00A84F46"/>
    <w:rsid w:val="00A871F4"/>
    <w:rsid w:val="00AC1B2C"/>
    <w:rsid w:val="00AC3264"/>
    <w:rsid w:val="00AC6F01"/>
    <w:rsid w:val="00AE0FE2"/>
    <w:rsid w:val="00AE1BF1"/>
    <w:rsid w:val="00AF0DD2"/>
    <w:rsid w:val="00AF1ABF"/>
    <w:rsid w:val="00B10314"/>
    <w:rsid w:val="00B13048"/>
    <w:rsid w:val="00B15998"/>
    <w:rsid w:val="00B1716D"/>
    <w:rsid w:val="00B17A1D"/>
    <w:rsid w:val="00B207A0"/>
    <w:rsid w:val="00B51925"/>
    <w:rsid w:val="00B56E03"/>
    <w:rsid w:val="00B60F5D"/>
    <w:rsid w:val="00B67E91"/>
    <w:rsid w:val="00B72E59"/>
    <w:rsid w:val="00B8080B"/>
    <w:rsid w:val="00B858A6"/>
    <w:rsid w:val="00B87C39"/>
    <w:rsid w:val="00BA4665"/>
    <w:rsid w:val="00BA5801"/>
    <w:rsid w:val="00BB2FB2"/>
    <w:rsid w:val="00BB3304"/>
    <w:rsid w:val="00BD3446"/>
    <w:rsid w:val="00BE1F1B"/>
    <w:rsid w:val="00BE47B5"/>
    <w:rsid w:val="00BE4C99"/>
    <w:rsid w:val="00C01761"/>
    <w:rsid w:val="00C058AB"/>
    <w:rsid w:val="00C06739"/>
    <w:rsid w:val="00C15E17"/>
    <w:rsid w:val="00C538A9"/>
    <w:rsid w:val="00C53B5A"/>
    <w:rsid w:val="00C54F5A"/>
    <w:rsid w:val="00C755AD"/>
    <w:rsid w:val="00C86679"/>
    <w:rsid w:val="00CB666B"/>
    <w:rsid w:val="00CD5E74"/>
    <w:rsid w:val="00CF799E"/>
    <w:rsid w:val="00D01CF0"/>
    <w:rsid w:val="00D0442A"/>
    <w:rsid w:val="00D203E1"/>
    <w:rsid w:val="00D544B8"/>
    <w:rsid w:val="00D61388"/>
    <w:rsid w:val="00D61A54"/>
    <w:rsid w:val="00D64AF7"/>
    <w:rsid w:val="00D64DEA"/>
    <w:rsid w:val="00D73D5F"/>
    <w:rsid w:val="00D74B49"/>
    <w:rsid w:val="00D8077C"/>
    <w:rsid w:val="00D80893"/>
    <w:rsid w:val="00D92CF1"/>
    <w:rsid w:val="00D92D38"/>
    <w:rsid w:val="00D950F5"/>
    <w:rsid w:val="00DB077B"/>
    <w:rsid w:val="00DB0F93"/>
    <w:rsid w:val="00DB18EC"/>
    <w:rsid w:val="00DC542F"/>
    <w:rsid w:val="00DC7981"/>
    <w:rsid w:val="00DE1364"/>
    <w:rsid w:val="00DE4EFA"/>
    <w:rsid w:val="00DE5168"/>
    <w:rsid w:val="00DE5520"/>
    <w:rsid w:val="00E04818"/>
    <w:rsid w:val="00E06442"/>
    <w:rsid w:val="00E23993"/>
    <w:rsid w:val="00E25B8C"/>
    <w:rsid w:val="00E45519"/>
    <w:rsid w:val="00E4674F"/>
    <w:rsid w:val="00E56576"/>
    <w:rsid w:val="00E61346"/>
    <w:rsid w:val="00E63639"/>
    <w:rsid w:val="00E652C9"/>
    <w:rsid w:val="00E65C85"/>
    <w:rsid w:val="00E66199"/>
    <w:rsid w:val="00E71552"/>
    <w:rsid w:val="00E755EC"/>
    <w:rsid w:val="00E7624D"/>
    <w:rsid w:val="00E83BED"/>
    <w:rsid w:val="00EA2121"/>
    <w:rsid w:val="00EA3D42"/>
    <w:rsid w:val="00EA6B1B"/>
    <w:rsid w:val="00EE28F3"/>
    <w:rsid w:val="00EF5110"/>
    <w:rsid w:val="00F10405"/>
    <w:rsid w:val="00F15882"/>
    <w:rsid w:val="00F20BD3"/>
    <w:rsid w:val="00F373A5"/>
    <w:rsid w:val="00F47559"/>
    <w:rsid w:val="00F54E5E"/>
    <w:rsid w:val="00F60BE4"/>
    <w:rsid w:val="00F61B84"/>
    <w:rsid w:val="00F62762"/>
    <w:rsid w:val="00F64C7B"/>
    <w:rsid w:val="00F676DD"/>
    <w:rsid w:val="00F75A26"/>
    <w:rsid w:val="00F80A7D"/>
    <w:rsid w:val="00F83FAD"/>
    <w:rsid w:val="00F91DC6"/>
    <w:rsid w:val="00F952A0"/>
    <w:rsid w:val="00F96491"/>
    <w:rsid w:val="00FA3C7F"/>
    <w:rsid w:val="00FA79E5"/>
    <w:rsid w:val="00FB52D7"/>
    <w:rsid w:val="00FB74E2"/>
    <w:rsid w:val="00FD1292"/>
    <w:rsid w:val="00FD5614"/>
    <w:rsid w:val="00FE0BE1"/>
    <w:rsid w:val="00FE1DE9"/>
    <w:rsid w:val="00FE39C2"/>
    <w:rsid w:val="00FE412B"/>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27628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pPr>
  </w:style>
  <w:style w:type="paragraph" w:customStyle="1" w:styleId="Numbered11">
    <w:name w:val="Numbered 1.1"/>
    <w:basedOn w:val="Heading2"/>
    <w:next w:val="Normal"/>
    <w:qFormat/>
    <w:rsid w:val="000E3A2E"/>
    <w:pPr>
      <w:numPr>
        <w:ilvl w:val="1"/>
        <w:numId w:val="12"/>
      </w:numPr>
      <w:tabs>
        <w:tab w:val="left" w:pos="1021"/>
      </w:tabs>
    </w:pPr>
    <w:rPr>
      <w:rFonts w:cs="Arial"/>
    </w:rPr>
  </w:style>
  <w:style w:type="paragraph" w:customStyle="1" w:styleId="Numbered111">
    <w:name w:val="Numbered 1.1.1"/>
    <w:basedOn w:val="Heading3"/>
    <w:next w:val="Normal"/>
    <w:qFormat/>
    <w:rsid w:val="009F2BE5"/>
    <w:pPr>
      <w:numPr>
        <w:ilvl w:val="2"/>
        <w:numId w:val="12"/>
      </w:numPr>
      <w:tabs>
        <w:tab w:val="left" w:pos="1361"/>
      </w:tabs>
      <w:contextualSpacing/>
    </w:pPr>
  </w:style>
  <w:style w:type="paragraph" w:customStyle="1" w:styleId="Numbered1111">
    <w:name w:val="Numbered 1.1.1.1"/>
    <w:basedOn w:val="Heading4"/>
    <w:next w:val="Normal"/>
    <w:rsid w:val="00F61B84"/>
    <w:pPr>
      <w:numPr>
        <w:ilvl w:val="3"/>
        <w:numId w:val="12"/>
      </w:numPr>
      <w:tabs>
        <w:tab w:val="left" w:pos="1361"/>
      </w:tabs>
    </w:pPr>
  </w:style>
  <w:style w:type="paragraph" w:customStyle="1" w:styleId="Numbered11111">
    <w:name w:val="Numbered 1.1.1.1.1"/>
    <w:basedOn w:val="Heading5"/>
    <w:next w:val="Normal"/>
    <w:uiPriority w:val="2"/>
    <w:rsid w:val="00F61B84"/>
    <w:pPr>
      <w:numPr>
        <w:ilvl w:val="4"/>
        <w:numId w:val="12"/>
      </w:numPr>
      <w:tabs>
        <w:tab w:val="left" w:pos="1701"/>
      </w:tabs>
    </w:pPr>
  </w:style>
  <w:style w:type="paragraph" w:customStyle="1" w:styleId="Numbered111111">
    <w:name w:val="Numbered 1.1.1.1.1.1"/>
    <w:basedOn w:val="Heading6"/>
    <w:next w:val="Normal"/>
    <w:uiPriority w:val="2"/>
    <w:rsid w:val="00F61B84"/>
    <w:pPr>
      <w:numPr>
        <w:ilvl w:val="5"/>
        <w:numId w:val="12"/>
      </w:numPr>
      <w:tabs>
        <w:tab w:val="left" w:pos="1701"/>
      </w:tabs>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pPr>
  </w:style>
  <w:style w:type="paragraph" w:customStyle="1" w:styleId="Numbered11111111">
    <w:name w:val="Numbered 1.1.1.1.1.1.1.1"/>
    <w:basedOn w:val="Heading8"/>
    <w:next w:val="Normal"/>
    <w:uiPriority w:val="2"/>
    <w:rsid w:val="00F61B84"/>
    <w:pPr>
      <w:numPr>
        <w:ilvl w:val="7"/>
        <w:numId w:val="12"/>
      </w:numPr>
      <w:tabs>
        <w:tab w:val="left" w:pos="2041"/>
      </w:tabs>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FA79E5"/>
    <w:pPr>
      <w:spacing w:before="720" w:after="120"/>
      <w:contextualSpacing/>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FA79E5"/>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D73D5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D73D5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Normal"/>
    <w:link w:val="TableHeading-rightChar"/>
    <w:rsid w:val="00D64AF7"/>
    <w:pPr>
      <w:tabs>
        <w:tab w:val="left" w:pos="680"/>
      </w:tabs>
      <w:spacing w:before="240"/>
      <w:ind w:left="680" w:hanging="680"/>
      <w:jc w:val="right"/>
      <w:outlineLvl w:val="0"/>
    </w:pPr>
    <w:rPr>
      <w:rFonts w:ascii="Lucida Fax" w:eastAsia="Times New Roman" w:hAnsi="Lucida Fax" w:cs="Times New Roman"/>
      <w:color w:val="51626F"/>
      <w:sz w:val="32"/>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rightChar">
    <w:name w:val="Table Heading - right Char"/>
    <w:basedOn w:val="DefaultParagraphFont"/>
    <w:link w:val="TableHeading-right"/>
    <w:rsid w:val="00D64AF7"/>
    <w:rPr>
      <w:rFonts w:ascii="Lucida Fax" w:eastAsia="Times New Roman" w:hAnsi="Lucida Fax" w:cs="Times New Roman"/>
      <w:color w:val="51626F"/>
      <w:sz w:val="32"/>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Normal"/>
    <w:rsid w:val="00D64AF7"/>
    <w:pPr>
      <w:tabs>
        <w:tab w:val="left" w:pos="680"/>
      </w:tabs>
      <w:spacing w:before="240"/>
      <w:ind w:left="680" w:hanging="680"/>
      <w:jc w:val="center"/>
      <w:outlineLvl w:val="0"/>
    </w:pPr>
    <w:rPr>
      <w:rFonts w:ascii="Lucida Fax" w:eastAsia="Times New Roman" w:hAnsi="Lucida Fax" w:cs="Times New Roman"/>
      <w:color w:val="51626F"/>
      <w:sz w:val="32"/>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9F2BE5"/>
    <w:pPr>
      <w:ind w:left="680" w:hanging="680"/>
      <w:outlineLvl w:val="9"/>
    </w:pPr>
    <w:rPr>
      <w:b w:val="0"/>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E68F8"/>
    <w:rPr>
      <w:color w:val="800080" w:themeColor="followedHyperlink"/>
      <w:u w:val="single"/>
    </w:rPr>
  </w:style>
  <w:style w:type="character" w:styleId="CommentReference">
    <w:name w:val="annotation reference"/>
    <w:basedOn w:val="DefaultParagraphFont"/>
    <w:uiPriority w:val="99"/>
    <w:semiHidden/>
    <w:unhideWhenUsed/>
    <w:rsid w:val="009B41E1"/>
    <w:rPr>
      <w:sz w:val="16"/>
      <w:szCs w:val="16"/>
    </w:rPr>
  </w:style>
  <w:style w:type="paragraph" w:styleId="CommentText">
    <w:name w:val="annotation text"/>
    <w:basedOn w:val="Normal"/>
    <w:link w:val="CommentTextChar"/>
    <w:uiPriority w:val="99"/>
    <w:semiHidden/>
    <w:unhideWhenUsed/>
    <w:rsid w:val="009B41E1"/>
    <w:rPr>
      <w:sz w:val="20"/>
      <w:szCs w:val="20"/>
    </w:rPr>
  </w:style>
  <w:style w:type="character" w:customStyle="1" w:styleId="CommentTextChar">
    <w:name w:val="Comment Text Char"/>
    <w:basedOn w:val="DefaultParagraphFont"/>
    <w:link w:val="CommentText"/>
    <w:uiPriority w:val="99"/>
    <w:semiHidden/>
    <w:rsid w:val="009B41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B41E1"/>
    <w:rPr>
      <w:b/>
      <w:bCs/>
    </w:rPr>
  </w:style>
  <w:style w:type="character" w:customStyle="1" w:styleId="CommentSubjectChar">
    <w:name w:val="Comment Subject Char"/>
    <w:basedOn w:val="CommentTextChar"/>
    <w:link w:val="CommentSubject"/>
    <w:uiPriority w:val="99"/>
    <w:semiHidden/>
    <w:rsid w:val="009B41E1"/>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27628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pPr>
  </w:style>
  <w:style w:type="paragraph" w:customStyle="1" w:styleId="Numbered11">
    <w:name w:val="Numbered 1.1"/>
    <w:basedOn w:val="Heading2"/>
    <w:next w:val="Normal"/>
    <w:qFormat/>
    <w:rsid w:val="000E3A2E"/>
    <w:pPr>
      <w:numPr>
        <w:ilvl w:val="1"/>
        <w:numId w:val="12"/>
      </w:numPr>
      <w:tabs>
        <w:tab w:val="left" w:pos="1021"/>
      </w:tabs>
    </w:pPr>
    <w:rPr>
      <w:rFonts w:cs="Arial"/>
    </w:rPr>
  </w:style>
  <w:style w:type="paragraph" w:customStyle="1" w:styleId="Numbered111">
    <w:name w:val="Numbered 1.1.1"/>
    <w:basedOn w:val="Heading3"/>
    <w:next w:val="Normal"/>
    <w:qFormat/>
    <w:rsid w:val="009F2BE5"/>
    <w:pPr>
      <w:numPr>
        <w:ilvl w:val="2"/>
        <w:numId w:val="12"/>
      </w:numPr>
      <w:tabs>
        <w:tab w:val="left" w:pos="1361"/>
      </w:tabs>
      <w:contextualSpacing/>
    </w:pPr>
  </w:style>
  <w:style w:type="paragraph" w:customStyle="1" w:styleId="Numbered1111">
    <w:name w:val="Numbered 1.1.1.1"/>
    <w:basedOn w:val="Heading4"/>
    <w:next w:val="Normal"/>
    <w:rsid w:val="00F61B84"/>
    <w:pPr>
      <w:numPr>
        <w:ilvl w:val="3"/>
        <w:numId w:val="12"/>
      </w:numPr>
      <w:tabs>
        <w:tab w:val="left" w:pos="1361"/>
      </w:tabs>
    </w:pPr>
  </w:style>
  <w:style w:type="paragraph" w:customStyle="1" w:styleId="Numbered11111">
    <w:name w:val="Numbered 1.1.1.1.1"/>
    <w:basedOn w:val="Heading5"/>
    <w:next w:val="Normal"/>
    <w:uiPriority w:val="2"/>
    <w:rsid w:val="00F61B84"/>
    <w:pPr>
      <w:numPr>
        <w:ilvl w:val="4"/>
        <w:numId w:val="12"/>
      </w:numPr>
      <w:tabs>
        <w:tab w:val="left" w:pos="1701"/>
      </w:tabs>
    </w:pPr>
  </w:style>
  <w:style w:type="paragraph" w:customStyle="1" w:styleId="Numbered111111">
    <w:name w:val="Numbered 1.1.1.1.1.1"/>
    <w:basedOn w:val="Heading6"/>
    <w:next w:val="Normal"/>
    <w:uiPriority w:val="2"/>
    <w:rsid w:val="00F61B84"/>
    <w:pPr>
      <w:numPr>
        <w:ilvl w:val="5"/>
        <w:numId w:val="12"/>
      </w:numPr>
      <w:tabs>
        <w:tab w:val="left" w:pos="1701"/>
      </w:tabs>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pPr>
  </w:style>
  <w:style w:type="paragraph" w:customStyle="1" w:styleId="Numbered11111111">
    <w:name w:val="Numbered 1.1.1.1.1.1.1.1"/>
    <w:basedOn w:val="Heading8"/>
    <w:next w:val="Normal"/>
    <w:uiPriority w:val="2"/>
    <w:rsid w:val="00F61B84"/>
    <w:pPr>
      <w:numPr>
        <w:ilvl w:val="7"/>
        <w:numId w:val="12"/>
      </w:numPr>
      <w:tabs>
        <w:tab w:val="left" w:pos="2041"/>
      </w:tabs>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FA79E5"/>
    <w:pPr>
      <w:spacing w:before="720" w:after="120"/>
      <w:contextualSpacing/>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FA79E5"/>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D73D5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D73D5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Normal"/>
    <w:link w:val="TableHeading-rightChar"/>
    <w:rsid w:val="00D64AF7"/>
    <w:pPr>
      <w:tabs>
        <w:tab w:val="left" w:pos="680"/>
      </w:tabs>
      <w:spacing w:before="240"/>
      <w:ind w:left="680" w:hanging="680"/>
      <w:jc w:val="right"/>
      <w:outlineLvl w:val="0"/>
    </w:pPr>
    <w:rPr>
      <w:rFonts w:ascii="Lucida Fax" w:eastAsia="Times New Roman" w:hAnsi="Lucida Fax" w:cs="Times New Roman"/>
      <w:color w:val="51626F"/>
      <w:sz w:val="32"/>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rightChar">
    <w:name w:val="Table Heading - right Char"/>
    <w:basedOn w:val="DefaultParagraphFont"/>
    <w:link w:val="TableHeading-right"/>
    <w:rsid w:val="00D64AF7"/>
    <w:rPr>
      <w:rFonts w:ascii="Lucida Fax" w:eastAsia="Times New Roman" w:hAnsi="Lucida Fax" w:cs="Times New Roman"/>
      <w:color w:val="51626F"/>
      <w:sz w:val="32"/>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Normal"/>
    <w:rsid w:val="00D64AF7"/>
    <w:pPr>
      <w:tabs>
        <w:tab w:val="left" w:pos="680"/>
      </w:tabs>
      <w:spacing w:before="240"/>
      <w:ind w:left="680" w:hanging="680"/>
      <w:jc w:val="center"/>
      <w:outlineLvl w:val="0"/>
    </w:pPr>
    <w:rPr>
      <w:rFonts w:ascii="Lucida Fax" w:eastAsia="Times New Roman" w:hAnsi="Lucida Fax" w:cs="Times New Roman"/>
      <w:color w:val="51626F"/>
      <w:sz w:val="32"/>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9F2BE5"/>
    <w:pPr>
      <w:ind w:left="680" w:hanging="680"/>
      <w:outlineLvl w:val="9"/>
    </w:pPr>
    <w:rPr>
      <w:b w:val="0"/>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E68F8"/>
    <w:rPr>
      <w:color w:val="800080" w:themeColor="followedHyperlink"/>
      <w:u w:val="single"/>
    </w:rPr>
  </w:style>
  <w:style w:type="character" w:styleId="CommentReference">
    <w:name w:val="annotation reference"/>
    <w:basedOn w:val="DefaultParagraphFont"/>
    <w:uiPriority w:val="99"/>
    <w:semiHidden/>
    <w:unhideWhenUsed/>
    <w:rsid w:val="009B41E1"/>
    <w:rPr>
      <w:sz w:val="16"/>
      <w:szCs w:val="16"/>
    </w:rPr>
  </w:style>
  <w:style w:type="paragraph" w:styleId="CommentText">
    <w:name w:val="annotation text"/>
    <w:basedOn w:val="Normal"/>
    <w:link w:val="CommentTextChar"/>
    <w:uiPriority w:val="99"/>
    <w:semiHidden/>
    <w:unhideWhenUsed/>
    <w:rsid w:val="009B41E1"/>
    <w:rPr>
      <w:sz w:val="20"/>
      <w:szCs w:val="20"/>
    </w:rPr>
  </w:style>
  <w:style w:type="character" w:customStyle="1" w:styleId="CommentTextChar">
    <w:name w:val="Comment Text Char"/>
    <w:basedOn w:val="DefaultParagraphFont"/>
    <w:link w:val="CommentText"/>
    <w:uiPriority w:val="99"/>
    <w:semiHidden/>
    <w:rsid w:val="009B41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B41E1"/>
    <w:rPr>
      <w:b/>
      <w:bCs/>
    </w:rPr>
  </w:style>
  <w:style w:type="character" w:customStyle="1" w:styleId="CommentSubjectChar">
    <w:name w:val="Comment Subject Char"/>
    <w:basedOn w:val="CommentTextChar"/>
    <w:link w:val="CommentSubject"/>
    <w:uiPriority w:val="99"/>
    <w:semiHidden/>
    <w:rsid w:val="009B41E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3601">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American_National_Standards_Institute" TargetMode="External"/><Relationship Id="rId18" Type="http://schemas.openxmlformats.org/officeDocument/2006/relationships/hyperlink" Target="http://www.bsigroup.com/" TargetMode="External"/><Relationship Id="rId26" Type="http://schemas.openxmlformats.org/officeDocument/2006/relationships/hyperlink" Target="http://www.iec.ch/about/" TargetMode="External"/><Relationship Id="rId3" Type="http://schemas.openxmlformats.org/officeDocument/2006/relationships/numbering" Target="numbering.xml"/><Relationship Id="rId21" Type="http://schemas.openxmlformats.org/officeDocument/2006/relationships/hyperlink" Target="https://en.wikipedia.org/wiki/DI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n.wikipedia.org/wiki/ANSI" TargetMode="External"/><Relationship Id="rId17" Type="http://schemas.openxmlformats.org/officeDocument/2006/relationships/hyperlink" Target="http://www.astm.org/" TargetMode="External"/><Relationship Id="rId25" Type="http://schemas.openxmlformats.org/officeDocument/2006/relationships/hyperlink" Target="https://en.wikipedia.org/wiki/Standards_organization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wikipedia.org/wiki/Standards_organization" TargetMode="External"/><Relationship Id="rId20" Type="http://schemas.openxmlformats.org/officeDocument/2006/relationships/hyperlink" Target="http://www.csagroup.org/" TargetMode="External"/><Relationship Id="rId29" Type="http://schemas.openxmlformats.org/officeDocument/2006/relationships/hyperlink" Target="https://en.wikipedia.org/wiki/Standards_organiz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shing.unit@accc.gov.au" TargetMode="External"/><Relationship Id="rId24" Type="http://schemas.openxmlformats.org/officeDocument/2006/relationships/hyperlink" Target="https://en.wikipedia.org/wiki/International_standard" TargetMode="External"/><Relationship Id="rId32" Type="http://schemas.openxmlformats.org/officeDocument/2006/relationships/hyperlink" Target="mailto:productsafety.regulation@accc.gov.au" TargetMode="External"/><Relationship Id="rId5" Type="http://schemas.microsoft.com/office/2007/relationships/stylesWithEffects" Target="stylesWithEffects.xml"/><Relationship Id="rId15" Type="http://schemas.openxmlformats.org/officeDocument/2006/relationships/hyperlink" Target="https://en.wikipedia.org/wiki/ASTM_International" TargetMode="External"/><Relationship Id="rId23" Type="http://schemas.openxmlformats.org/officeDocument/2006/relationships/hyperlink" Target="http://www.din.de/en" TargetMode="External"/><Relationship Id="rId28" Type="http://schemas.openxmlformats.org/officeDocument/2006/relationships/hyperlink" Target="https://en.wikipedia.org/wiki/International_standard" TargetMode="External"/><Relationship Id="rId10" Type="http://schemas.openxmlformats.org/officeDocument/2006/relationships/image" Target="media/image1.png"/><Relationship Id="rId19" Type="http://schemas.openxmlformats.org/officeDocument/2006/relationships/hyperlink" Target="https://www.cen.eu/about/Pages/default.aspx" TargetMode="External"/><Relationship Id="rId31" Type="http://schemas.openxmlformats.org/officeDocument/2006/relationships/hyperlink" Target="http://www.ul.com/aboutul/histor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nsi.org/" TargetMode="External"/><Relationship Id="rId22" Type="http://schemas.openxmlformats.org/officeDocument/2006/relationships/hyperlink" Target="https://en.wikipedia.org/wiki/Deutsches_Institut_f%C3%BCr_Bautechnik" TargetMode="External"/><Relationship Id="rId27" Type="http://schemas.openxmlformats.org/officeDocument/2006/relationships/hyperlink" Target="https://en.wikipedia.org/wiki/International_Organization_for_Standardization" TargetMode="External"/><Relationship Id="rId30" Type="http://schemas.openxmlformats.org/officeDocument/2006/relationships/hyperlink" Target="http://www.iso.org/iso/home.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oductsafety.gov.au/content/index.phtml/itemId/1014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ACCC%20Report%20Template.dot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4753A-F1E7-4D3C-877E-B04DC3EB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ACCC Report Template</Template>
  <TotalTime>811</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Lalor, David</dc:creator>
  <cp:lastModifiedBy>Scott, Ian</cp:lastModifiedBy>
  <cp:revision>53</cp:revision>
  <cp:lastPrinted>2016-05-02T23:53:00Z</cp:lastPrinted>
  <dcterms:created xsi:type="dcterms:W3CDTF">2016-04-18T02:08:00Z</dcterms:created>
  <dcterms:modified xsi:type="dcterms:W3CDTF">2016-05-09T02:16:00Z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8662406</vt:lpwstr>
  </property>
  <property fmtid="{D5CDD505-2E9C-101B-9397-08002B2CF9AE}" pid="3" name="currfile">
    <vt:lpwstr>\\cdchnas-evs02\home$\IScot\consultation paper - international standards associations - april 2016 (D2016-00047943).docx</vt:lpwstr>
  </property>
</Properties>
</file>