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F7" w:rsidRDefault="00A34CF3" w:rsidP="005A6AF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82.5pt">
            <v:imagedata r:id="rId9" o:title="ACCC-logo-BW"/>
          </v:shape>
        </w:pict>
      </w:r>
    </w:p>
    <w:p w:rsidR="005A6AF7" w:rsidRDefault="005A6AF7" w:rsidP="005A6AF7">
      <w:pPr>
        <w:jc w:val="center"/>
        <w:rPr>
          <w:b/>
          <w:sz w:val="28"/>
          <w:szCs w:val="28"/>
          <w:u w:val="single"/>
        </w:rPr>
      </w:pPr>
    </w:p>
    <w:p w:rsidR="005A6AF7" w:rsidRDefault="005A6AF7" w:rsidP="005A6AF7">
      <w:pPr>
        <w:jc w:val="center"/>
        <w:rPr>
          <w:b/>
          <w:sz w:val="28"/>
          <w:szCs w:val="28"/>
          <w:u w:val="single"/>
        </w:rPr>
      </w:pPr>
    </w:p>
    <w:p w:rsidR="005A6AF7" w:rsidRDefault="005A6AF7" w:rsidP="005A6AF7">
      <w:pPr>
        <w:jc w:val="center"/>
        <w:rPr>
          <w:b/>
          <w:sz w:val="28"/>
          <w:szCs w:val="28"/>
          <w:u w:val="single"/>
        </w:rPr>
      </w:pPr>
    </w:p>
    <w:p w:rsidR="005A6AF7" w:rsidRDefault="005A6AF7" w:rsidP="005A6AF7">
      <w:pPr>
        <w:jc w:val="center"/>
        <w:rPr>
          <w:b/>
          <w:sz w:val="28"/>
          <w:szCs w:val="28"/>
          <w:u w:val="single"/>
        </w:rPr>
      </w:pPr>
    </w:p>
    <w:p w:rsidR="005A6AF7" w:rsidRDefault="005A6AF7" w:rsidP="005A6AF7">
      <w:pPr>
        <w:jc w:val="center"/>
        <w:rPr>
          <w:b/>
          <w:sz w:val="52"/>
          <w:szCs w:val="52"/>
        </w:rPr>
      </w:pPr>
    </w:p>
    <w:p w:rsidR="005A6AF7" w:rsidRPr="001424B3" w:rsidRDefault="005A6AF7" w:rsidP="005A6AF7">
      <w:pPr>
        <w:jc w:val="center"/>
        <w:rPr>
          <w:b/>
          <w:sz w:val="52"/>
          <w:szCs w:val="52"/>
        </w:rPr>
      </w:pPr>
      <w:r w:rsidRPr="001424B3">
        <w:rPr>
          <w:b/>
          <w:sz w:val="52"/>
          <w:szCs w:val="52"/>
        </w:rPr>
        <w:t>Consultation Paper</w:t>
      </w:r>
    </w:p>
    <w:p w:rsidR="005A6AF7" w:rsidRPr="001424B3" w:rsidRDefault="005A6AF7" w:rsidP="005A6AF7">
      <w:pPr>
        <w:jc w:val="center"/>
        <w:rPr>
          <w:b/>
          <w:sz w:val="52"/>
          <w:szCs w:val="52"/>
        </w:rPr>
      </w:pPr>
    </w:p>
    <w:p w:rsidR="005A6AF7" w:rsidRDefault="005A6AF7" w:rsidP="005A6AF7">
      <w:pPr>
        <w:jc w:val="center"/>
        <w:rPr>
          <w:b/>
          <w:sz w:val="52"/>
          <w:szCs w:val="52"/>
        </w:rPr>
      </w:pPr>
    </w:p>
    <w:p w:rsidR="005A6AF7" w:rsidRPr="001424B3" w:rsidRDefault="005A6AF7" w:rsidP="005A6AF7">
      <w:pPr>
        <w:jc w:val="center"/>
        <w:rPr>
          <w:b/>
          <w:sz w:val="52"/>
          <w:szCs w:val="52"/>
        </w:rPr>
      </w:pPr>
    </w:p>
    <w:p w:rsidR="00E77F1E" w:rsidRDefault="00E77F1E" w:rsidP="005A6AF7">
      <w:pPr>
        <w:jc w:val="center"/>
        <w:rPr>
          <w:b/>
          <w:sz w:val="52"/>
          <w:szCs w:val="52"/>
        </w:rPr>
      </w:pPr>
      <w:r>
        <w:rPr>
          <w:b/>
          <w:sz w:val="52"/>
          <w:szCs w:val="52"/>
        </w:rPr>
        <w:t xml:space="preserve">Draft </w:t>
      </w:r>
      <w:r w:rsidR="005A66D1">
        <w:rPr>
          <w:b/>
          <w:sz w:val="52"/>
          <w:szCs w:val="52"/>
        </w:rPr>
        <w:t xml:space="preserve">of Proposed </w:t>
      </w:r>
      <w:r>
        <w:rPr>
          <w:b/>
          <w:sz w:val="52"/>
          <w:szCs w:val="52"/>
        </w:rPr>
        <w:t>Regulation</w:t>
      </w:r>
    </w:p>
    <w:p w:rsidR="00EB1CD4" w:rsidRDefault="00EB1CD4" w:rsidP="005A6AF7">
      <w:pPr>
        <w:jc w:val="center"/>
        <w:rPr>
          <w:b/>
          <w:sz w:val="52"/>
          <w:szCs w:val="52"/>
        </w:rPr>
      </w:pPr>
    </w:p>
    <w:p w:rsidR="005A6AF7" w:rsidRPr="005A6AF7" w:rsidRDefault="00F04618" w:rsidP="005A6AF7">
      <w:pPr>
        <w:jc w:val="center"/>
        <w:rPr>
          <w:b/>
          <w:sz w:val="52"/>
          <w:szCs w:val="52"/>
        </w:rPr>
      </w:pPr>
      <w:r>
        <w:rPr>
          <w:b/>
          <w:sz w:val="52"/>
          <w:szCs w:val="52"/>
        </w:rPr>
        <w:t>SERVICES</w:t>
      </w:r>
      <w:r w:rsidR="005A6AF7" w:rsidRPr="005A6AF7">
        <w:rPr>
          <w:b/>
          <w:sz w:val="52"/>
          <w:szCs w:val="52"/>
        </w:rPr>
        <w:t xml:space="preserve"> STANDARD: Corded Internal Window </w:t>
      </w:r>
      <w:r w:rsidR="000D7090">
        <w:rPr>
          <w:b/>
          <w:sz w:val="52"/>
          <w:szCs w:val="52"/>
        </w:rPr>
        <w:t>Coverings</w:t>
      </w:r>
    </w:p>
    <w:p w:rsidR="005A6AF7" w:rsidRPr="001424B3" w:rsidRDefault="005A6AF7" w:rsidP="005A6AF7">
      <w:pPr>
        <w:jc w:val="center"/>
        <w:rPr>
          <w:b/>
          <w:sz w:val="52"/>
          <w:szCs w:val="52"/>
        </w:rPr>
      </w:pPr>
      <w:r w:rsidRPr="001424B3">
        <w:rPr>
          <w:b/>
          <w:sz w:val="52"/>
          <w:szCs w:val="52"/>
        </w:rPr>
        <w:t xml:space="preserve"> </w:t>
      </w:r>
    </w:p>
    <w:p w:rsidR="005A6AF7" w:rsidRDefault="005A6AF7" w:rsidP="005A6AF7">
      <w:pPr>
        <w:jc w:val="center"/>
        <w:rPr>
          <w:b/>
          <w:sz w:val="96"/>
          <w:szCs w:val="96"/>
        </w:rPr>
      </w:pPr>
    </w:p>
    <w:p w:rsidR="005A6AF7" w:rsidRDefault="005A6AF7" w:rsidP="005A6AF7">
      <w:pPr>
        <w:jc w:val="center"/>
        <w:rPr>
          <w:b/>
          <w:sz w:val="96"/>
          <w:szCs w:val="96"/>
        </w:rPr>
      </w:pPr>
    </w:p>
    <w:p w:rsidR="005A6AF7" w:rsidRPr="001424B3" w:rsidRDefault="00D71A56" w:rsidP="005A6AF7">
      <w:pPr>
        <w:jc w:val="center"/>
        <w:rPr>
          <w:b/>
          <w:sz w:val="52"/>
          <w:szCs w:val="52"/>
        </w:rPr>
      </w:pPr>
      <w:proofErr w:type="gramStart"/>
      <w:r>
        <w:rPr>
          <w:b/>
          <w:sz w:val="52"/>
          <w:szCs w:val="52"/>
        </w:rPr>
        <w:t xml:space="preserve">August </w:t>
      </w:r>
      <w:r w:rsidR="003A72F0">
        <w:rPr>
          <w:b/>
          <w:sz w:val="52"/>
          <w:szCs w:val="52"/>
        </w:rPr>
        <w:t xml:space="preserve"> </w:t>
      </w:r>
      <w:r w:rsidR="00F85FAD">
        <w:rPr>
          <w:b/>
          <w:sz w:val="52"/>
          <w:szCs w:val="52"/>
        </w:rPr>
        <w:t>2013</w:t>
      </w:r>
      <w:proofErr w:type="gramEnd"/>
    </w:p>
    <w:p w:rsidR="005A6AF7" w:rsidRDefault="005A6AF7" w:rsidP="005A6AF7">
      <w:pPr>
        <w:autoSpaceDE w:val="0"/>
        <w:autoSpaceDN w:val="0"/>
        <w:adjustRightInd w:val="0"/>
        <w:rPr>
          <w:b/>
          <w:sz w:val="72"/>
          <w:szCs w:val="72"/>
        </w:rPr>
      </w:pPr>
      <w:r>
        <w:rPr>
          <w:b/>
          <w:sz w:val="72"/>
          <w:szCs w:val="72"/>
        </w:rPr>
        <w:br w:type="page"/>
      </w:r>
    </w:p>
    <w:p w:rsidR="005A6AF7" w:rsidRDefault="005A6AF7" w:rsidP="005A6AF7">
      <w:pPr>
        <w:autoSpaceDE w:val="0"/>
        <w:autoSpaceDN w:val="0"/>
        <w:adjustRightInd w:val="0"/>
        <w:rPr>
          <w:b/>
          <w:sz w:val="72"/>
          <w:szCs w:val="72"/>
        </w:rPr>
      </w:pPr>
    </w:p>
    <w:p w:rsidR="005A6AF7" w:rsidRDefault="005A6AF7" w:rsidP="005A6AF7">
      <w:pPr>
        <w:autoSpaceDE w:val="0"/>
        <w:autoSpaceDN w:val="0"/>
        <w:adjustRightInd w:val="0"/>
        <w:rPr>
          <w:b/>
          <w:sz w:val="72"/>
          <w:szCs w:val="72"/>
        </w:rPr>
      </w:pPr>
    </w:p>
    <w:p w:rsidR="005A6AF7" w:rsidRDefault="005A6AF7" w:rsidP="005A6AF7">
      <w:pPr>
        <w:autoSpaceDE w:val="0"/>
        <w:autoSpaceDN w:val="0"/>
        <w:adjustRightInd w:val="0"/>
        <w:rPr>
          <w:b/>
          <w:sz w:val="72"/>
          <w:szCs w:val="72"/>
        </w:rPr>
      </w:pPr>
    </w:p>
    <w:p w:rsidR="005A6AF7" w:rsidRDefault="005A6AF7" w:rsidP="005A6AF7">
      <w:pPr>
        <w:autoSpaceDE w:val="0"/>
        <w:autoSpaceDN w:val="0"/>
        <w:adjustRightInd w:val="0"/>
        <w:rPr>
          <w:b/>
          <w:sz w:val="72"/>
          <w:szCs w:val="72"/>
        </w:rPr>
      </w:pPr>
    </w:p>
    <w:p w:rsidR="005A6AF7" w:rsidRDefault="005A6AF7" w:rsidP="005A6AF7">
      <w:pPr>
        <w:autoSpaceDE w:val="0"/>
        <w:autoSpaceDN w:val="0"/>
        <w:adjustRightInd w:val="0"/>
        <w:rPr>
          <w:b/>
          <w:sz w:val="72"/>
          <w:szCs w:val="72"/>
        </w:rPr>
      </w:pPr>
    </w:p>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 w:rsidR="005A6AF7" w:rsidRDefault="005A6AF7" w:rsidP="005A6AF7">
      <w:pPr>
        <w:rPr>
          <w:rStyle w:val="Copyrighttext"/>
        </w:rPr>
      </w:pPr>
    </w:p>
    <w:p w:rsidR="00DA6DB0" w:rsidRPr="00043E4A" w:rsidRDefault="00DA6DB0" w:rsidP="00DA6DB0"/>
    <w:p w:rsidR="00DA6DB0" w:rsidRDefault="00DA6DB0" w:rsidP="00DA6DB0">
      <w:pPr>
        <w:rPr>
          <w:rFonts w:ascii="Arial" w:hAnsi="Arial" w:cs="Arial"/>
        </w:rPr>
      </w:pPr>
      <w:r w:rsidRPr="00043E4A">
        <w:rPr>
          <w:b/>
          <w:sz w:val="20"/>
        </w:rPr>
        <w:t>This material may be faithfully reproduced or forwarded to any other interested parties or referenced on public websites, provided the Product Safety Branch of the Australian Competition and Consumer Commission is acknowledged as the source of the material and directions to access the full document are provided. For more information, contact the Director Publishing, Australian Competition and Consumer Commission, GPO Box 3131, Canberra ACT 2601.</w:t>
      </w:r>
    </w:p>
    <w:p w:rsidR="007C4367" w:rsidRDefault="00DA6DB0">
      <w:pPr>
        <w:pStyle w:val="TOCHeading"/>
      </w:pPr>
      <w:r>
        <w:br w:type="page"/>
      </w:r>
      <w:r w:rsidR="007C4367">
        <w:lastRenderedPageBreak/>
        <w:t>Contents</w:t>
      </w:r>
    </w:p>
    <w:p w:rsidR="00BE4AC2" w:rsidRDefault="007C4367">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60026194" w:history="1">
        <w:r w:rsidR="00BE4AC2" w:rsidRPr="00B605B6">
          <w:rPr>
            <w:rStyle w:val="Hyperlink"/>
            <w:noProof/>
          </w:rPr>
          <w:t>Purpose</w:t>
        </w:r>
        <w:r w:rsidR="00BE4AC2">
          <w:rPr>
            <w:noProof/>
            <w:webHidden/>
          </w:rPr>
          <w:tab/>
        </w:r>
        <w:r w:rsidR="00BE4AC2">
          <w:rPr>
            <w:noProof/>
            <w:webHidden/>
          </w:rPr>
          <w:fldChar w:fldCharType="begin"/>
        </w:r>
        <w:r w:rsidR="00BE4AC2">
          <w:rPr>
            <w:noProof/>
            <w:webHidden/>
          </w:rPr>
          <w:instrText xml:space="preserve"> PAGEREF _Toc360026194 \h </w:instrText>
        </w:r>
        <w:r w:rsidR="00BE4AC2">
          <w:rPr>
            <w:noProof/>
            <w:webHidden/>
          </w:rPr>
        </w:r>
        <w:r w:rsidR="00BE4AC2">
          <w:rPr>
            <w:noProof/>
            <w:webHidden/>
          </w:rPr>
          <w:fldChar w:fldCharType="separate"/>
        </w:r>
        <w:r w:rsidR="00A34CF3">
          <w:rPr>
            <w:noProof/>
            <w:webHidden/>
          </w:rPr>
          <w:t>4</w:t>
        </w:r>
        <w:r w:rsidR="00BE4AC2">
          <w:rPr>
            <w:noProof/>
            <w:webHidden/>
          </w:rPr>
          <w:fldChar w:fldCharType="end"/>
        </w:r>
      </w:hyperlink>
    </w:p>
    <w:p w:rsidR="00BE4AC2" w:rsidRDefault="00A34CF3">
      <w:pPr>
        <w:pStyle w:val="TOC1"/>
        <w:tabs>
          <w:tab w:val="right" w:leader="dot" w:pos="8296"/>
        </w:tabs>
        <w:rPr>
          <w:rFonts w:asciiTheme="minorHAnsi" w:eastAsiaTheme="minorEastAsia" w:hAnsiTheme="minorHAnsi" w:cstheme="minorBidi"/>
          <w:noProof/>
          <w:sz w:val="22"/>
          <w:szCs w:val="22"/>
        </w:rPr>
      </w:pPr>
      <w:hyperlink w:anchor="_Toc360026195" w:history="1">
        <w:r w:rsidR="00BE4AC2" w:rsidRPr="00B605B6">
          <w:rPr>
            <w:rStyle w:val="Hyperlink"/>
            <w:noProof/>
          </w:rPr>
          <w:t>Summary</w:t>
        </w:r>
        <w:r w:rsidR="00BE4AC2">
          <w:rPr>
            <w:noProof/>
            <w:webHidden/>
          </w:rPr>
          <w:tab/>
        </w:r>
        <w:r w:rsidR="00BE4AC2">
          <w:rPr>
            <w:noProof/>
            <w:webHidden/>
          </w:rPr>
          <w:fldChar w:fldCharType="begin"/>
        </w:r>
        <w:r w:rsidR="00BE4AC2">
          <w:rPr>
            <w:noProof/>
            <w:webHidden/>
          </w:rPr>
          <w:instrText xml:space="preserve"> PAGEREF _Toc360026195 \h </w:instrText>
        </w:r>
        <w:r w:rsidR="00BE4AC2">
          <w:rPr>
            <w:noProof/>
            <w:webHidden/>
          </w:rPr>
        </w:r>
        <w:r w:rsidR="00BE4AC2">
          <w:rPr>
            <w:noProof/>
            <w:webHidden/>
          </w:rPr>
          <w:fldChar w:fldCharType="separate"/>
        </w:r>
        <w:r>
          <w:rPr>
            <w:noProof/>
            <w:webHidden/>
          </w:rPr>
          <w:t>4</w:t>
        </w:r>
        <w:r w:rsidR="00BE4AC2">
          <w:rPr>
            <w:noProof/>
            <w:webHidden/>
          </w:rPr>
          <w:fldChar w:fldCharType="end"/>
        </w:r>
      </w:hyperlink>
    </w:p>
    <w:p w:rsidR="00BE4AC2" w:rsidRDefault="00A34CF3">
      <w:pPr>
        <w:pStyle w:val="TOC1"/>
        <w:tabs>
          <w:tab w:val="right" w:leader="dot" w:pos="8296"/>
        </w:tabs>
        <w:rPr>
          <w:rFonts w:asciiTheme="minorHAnsi" w:eastAsiaTheme="minorEastAsia" w:hAnsiTheme="minorHAnsi" w:cstheme="minorBidi"/>
          <w:noProof/>
          <w:sz w:val="22"/>
          <w:szCs w:val="22"/>
        </w:rPr>
      </w:pPr>
      <w:hyperlink w:anchor="_Toc360026196" w:history="1">
        <w:r w:rsidR="00BE4AC2" w:rsidRPr="00B605B6">
          <w:rPr>
            <w:rStyle w:val="Hyperlink"/>
            <w:noProof/>
          </w:rPr>
          <w:t>Consultation</w:t>
        </w:r>
        <w:r w:rsidR="00BE4AC2">
          <w:rPr>
            <w:noProof/>
            <w:webHidden/>
          </w:rPr>
          <w:tab/>
        </w:r>
        <w:r w:rsidR="00BE4AC2">
          <w:rPr>
            <w:noProof/>
            <w:webHidden/>
          </w:rPr>
          <w:fldChar w:fldCharType="begin"/>
        </w:r>
        <w:r w:rsidR="00BE4AC2">
          <w:rPr>
            <w:noProof/>
            <w:webHidden/>
          </w:rPr>
          <w:instrText xml:space="preserve"> PAGEREF _Toc360026196 \h </w:instrText>
        </w:r>
        <w:r w:rsidR="00BE4AC2">
          <w:rPr>
            <w:noProof/>
            <w:webHidden/>
          </w:rPr>
        </w:r>
        <w:r w:rsidR="00BE4AC2">
          <w:rPr>
            <w:noProof/>
            <w:webHidden/>
          </w:rPr>
          <w:fldChar w:fldCharType="separate"/>
        </w:r>
        <w:r>
          <w:rPr>
            <w:noProof/>
            <w:webHidden/>
          </w:rPr>
          <w:t>4</w:t>
        </w:r>
        <w:r w:rsidR="00BE4AC2">
          <w:rPr>
            <w:noProof/>
            <w:webHidden/>
          </w:rPr>
          <w:fldChar w:fldCharType="end"/>
        </w:r>
      </w:hyperlink>
    </w:p>
    <w:p w:rsidR="00BE4AC2" w:rsidRDefault="00A34CF3">
      <w:pPr>
        <w:pStyle w:val="TOC1"/>
        <w:tabs>
          <w:tab w:val="right" w:leader="dot" w:pos="8296"/>
        </w:tabs>
        <w:rPr>
          <w:rFonts w:asciiTheme="minorHAnsi" w:eastAsiaTheme="minorEastAsia" w:hAnsiTheme="minorHAnsi" w:cstheme="minorBidi"/>
          <w:noProof/>
          <w:sz w:val="22"/>
          <w:szCs w:val="22"/>
        </w:rPr>
      </w:pPr>
      <w:hyperlink w:anchor="_Toc360026197" w:history="1">
        <w:r w:rsidR="00BE4AC2" w:rsidRPr="00B605B6">
          <w:rPr>
            <w:rStyle w:val="Hyperlink"/>
            <w:noProof/>
          </w:rPr>
          <w:t>Background</w:t>
        </w:r>
        <w:r w:rsidR="00BE4AC2">
          <w:rPr>
            <w:noProof/>
            <w:webHidden/>
          </w:rPr>
          <w:tab/>
        </w:r>
        <w:r w:rsidR="00BE4AC2">
          <w:rPr>
            <w:noProof/>
            <w:webHidden/>
          </w:rPr>
          <w:fldChar w:fldCharType="begin"/>
        </w:r>
        <w:r w:rsidR="00BE4AC2">
          <w:rPr>
            <w:noProof/>
            <w:webHidden/>
          </w:rPr>
          <w:instrText xml:space="preserve"> PAGEREF _Toc360026197 \h </w:instrText>
        </w:r>
        <w:r w:rsidR="00BE4AC2">
          <w:rPr>
            <w:noProof/>
            <w:webHidden/>
          </w:rPr>
        </w:r>
        <w:r w:rsidR="00BE4AC2">
          <w:rPr>
            <w:noProof/>
            <w:webHidden/>
          </w:rPr>
          <w:fldChar w:fldCharType="separate"/>
        </w:r>
        <w:r>
          <w:rPr>
            <w:noProof/>
            <w:webHidden/>
          </w:rPr>
          <w:t>5</w:t>
        </w:r>
        <w:r w:rsidR="00BE4AC2">
          <w:rPr>
            <w:noProof/>
            <w:webHidden/>
          </w:rPr>
          <w:fldChar w:fldCharType="end"/>
        </w:r>
      </w:hyperlink>
    </w:p>
    <w:p w:rsidR="00BE4AC2" w:rsidRDefault="00A34CF3">
      <w:pPr>
        <w:pStyle w:val="TOC1"/>
        <w:tabs>
          <w:tab w:val="right" w:leader="dot" w:pos="8296"/>
        </w:tabs>
        <w:rPr>
          <w:rFonts w:asciiTheme="minorHAnsi" w:eastAsiaTheme="minorEastAsia" w:hAnsiTheme="minorHAnsi" w:cstheme="minorBidi"/>
          <w:noProof/>
          <w:sz w:val="22"/>
          <w:szCs w:val="22"/>
        </w:rPr>
      </w:pPr>
      <w:hyperlink w:anchor="_Toc360026198" w:history="1">
        <w:r w:rsidR="00BE4AC2" w:rsidRPr="00B605B6">
          <w:rPr>
            <w:rStyle w:val="Hyperlink"/>
            <w:noProof/>
          </w:rPr>
          <w:t>Why a services standard for CIWC installation?</w:t>
        </w:r>
        <w:r w:rsidR="00BE4AC2">
          <w:rPr>
            <w:noProof/>
            <w:webHidden/>
          </w:rPr>
          <w:tab/>
        </w:r>
        <w:r w:rsidR="00BE4AC2">
          <w:rPr>
            <w:noProof/>
            <w:webHidden/>
          </w:rPr>
          <w:fldChar w:fldCharType="begin"/>
        </w:r>
        <w:r w:rsidR="00BE4AC2">
          <w:rPr>
            <w:noProof/>
            <w:webHidden/>
          </w:rPr>
          <w:instrText xml:space="preserve"> PAGEREF _Toc360026198 \h </w:instrText>
        </w:r>
        <w:r w:rsidR="00BE4AC2">
          <w:rPr>
            <w:noProof/>
            <w:webHidden/>
          </w:rPr>
        </w:r>
        <w:r w:rsidR="00BE4AC2">
          <w:rPr>
            <w:noProof/>
            <w:webHidden/>
          </w:rPr>
          <w:fldChar w:fldCharType="separate"/>
        </w:r>
        <w:r>
          <w:rPr>
            <w:noProof/>
            <w:webHidden/>
          </w:rPr>
          <w:t>6</w:t>
        </w:r>
        <w:r w:rsidR="00BE4AC2">
          <w:rPr>
            <w:noProof/>
            <w:webHidden/>
          </w:rPr>
          <w:fldChar w:fldCharType="end"/>
        </w:r>
      </w:hyperlink>
    </w:p>
    <w:p w:rsidR="00BE4AC2" w:rsidRDefault="00A34CF3">
      <w:pPr>
        <w:pStyle w:val="TOC1"/>
        <w:tabs>
          <w:tab w:val="right" w:leader="dot" w:pos="8296"/>
        </w:tabs>
        <w:rPr>
          <w:rFonts w:asciiTheme="minorHAnsi" w:eastAsiaTheme="minorEastAsia" w:hAnsiTheme="minorHAnsi" w:cstheme="minorBidi"/>
          <w:noProof/>
          <w:sz w:val="22"/>
          <w:szCs w:val="22"/>
        </w:rPr>
      </w:pPr>
      <w:hyperlink w:anchor="_Toc360026199" w:history="1">
        <w:r w:rsidR="00BE4AC2" w:rsidRPr="00B605B6">
          <w:rPr>
            <w:rStyle w:val="Hyperlink"/>
            <w:noProof/>
          </w:rPr>
          <w:t>Feedback received and changes to proposed standard</w:t>
        </w:r>
        <w:r w:rsidR="00BE4AC2">
          <w:rPr>
            <w:noProof/>
            <w:webHidden/>
          </w:rPr>
          <w:tab/>
        </w:r>
        <w:r w:rsidR="00BE4AC2">
          <w:rPr>
            <w:noProof/>
            <w:webHidden/>
          </w:rPr>
          <w:fldChar w:fldCharType="begin"/>
        </w:r>
        <w:r w:rsidR="00BE4AC2">
          <w:rPr>
            <w:noProof/>
            <w:webHidden/>
          </w:rPr>
          <w:instrText xml:space="preserve"> PAGEREF _Toc360026199 \h </w:instrText>
        </w:r>
        <w:r w:rsidR="00BE4AC2">
          <w:rPr>
            <w:noProof/>
            <w:webHidden/>
          </w:rPr>
        </w:r>
        <w:r w:rsidR="00BE4AC2">
          <w:rPr>
            <w:noProof/>
            <w:webHidden/>
          </w:rPr>
          <w:fldChar w:fldCharType="separate"/>
        </w:r>
        <w:r>
          <w:rPr>
            <w:noProof/>
            <w:webHidden/>
          </w:rPr>
          <w:t>7</w:t>
        </w:r>
        <w:r w:rsidR="00BE4AC2">
          <w:rPr>
            <w:noProof/>
            <w:webHidden/>
          </w:rPr>
          <w:fldChar w:fldCharType="end"/>
        </w:r>
      </w:hyperlink>
    </w:p>
    <w:p w:rsidR="00BE4AC2" w:rsidRDefault="00A34CF3">
      <w:pPr>
        <w:pStyle w:val="TOC3"/>
        <w:tabs>
          <w:tab w:val="left" w:pos="1100"/>
          <w:tab w:val="right" w:leader="dot" w:pos="8296"/>
        </w:tabs>
        <w:rPr>
          <w:rFonts w:asciiTheme="minorHAnsi" w:eastAsiaTheme="minorEastAsia" w:hAnsiTheme="minorHAnsi" w:cstheme="minorBidi"/>
          <w:noProof/>
          <w:sz w:val="22"/>
          <w:szCs w:val="22"/>
        </w:rPr>
      </w:pPr>
      <w:hyperlink w:anchor="_Toc360026200" w:history="1">
        <w:r w:rsidR="00BE4AC2" w:rsidRPr="00B605B6">
          <w:rPr>
            <w:rStyle w:val="Hyperlink"/>
            <w:noProof/>
          </w:rPr>
          <w:t>1.</w:t>
        </w:r>
        <w:r w:rsidR="00BE4AC2">
          <w:rPr>
            <w:rFonts w:asciiTheme="minorHAnsi" w:eastAsiaTheme="minorEastAsia" w:hAnsiTheme="minorHAnsi" w:cstheme="minorBidi"/>
            <w:noProof/>
            <w:sz w:val="22"/>
            <w:szCs w:val="22"/>
          </w:rPr>
          <w:tab/>
        </w:r>
        <w:r w:rsidR="00BE4AC2" w:rsidRPr="00B605B6">
          <w:rPr>
            <w:rStyle w:val="Hyperlink"/>
            <w:noProof/>
          </w:rPr>
          <w:t>General support for a services standard</w:t>
        </w:r>
        <w:r w:rsidR="00BE4AC2">
          <w:rPr>
            <w:noProof/>
            <w:webHidden/>
          </w:rPr>
          <w:tab/>
        </w:r>
        <w:r w:rsidR="00BE4AC2">
          <w:rPr>
            <w:noProof/>
            <w:webHidden/>
          </w:rPr>
          <w:fldChar w:fldCharType="begin"/>
        </w:r>
        <w:r w:rsidR="00BE4AC2">
          <w:rPr>
            <w:noProof/>
            <w:webHidden/>
          </w:rPr>
          <w:instrText xml:space="preserve"> PAGEREF _Toc360026200 \h </w:instrText>
        </w:r>
        <w:r w:rsidR="00BE4AC2">
          <w:rPr>
            <w:noProof/>
            <w:webHidden/>
          </w:rPr>
        </w:r>
        <w:r w:rsidR="00BE4AC2">
          <w:rPr>
            <w:noProof/>
            <w:webHidden/>
          </w:rPr>
          <w:fldChar w:fldCharType="separate"/>
        </w:r>
        <w:r>
          <w:rPr>
            <w:noProof/>
            <w:webHidden/>
          </w:rPr>
          <w:t>7</w:t>
        </w:r>
        <w:r w:rsidR="00BE4AC2">
          <w:rPr>
            <w:noProof/>
            <w:webHidden/>
          </w:rPr>
          <w:fldChar w:fldCharType="end"/>
        </w:r>
      </w:hyperlink>
    </w:p>
    <w:p w:rsidR="00BE4AC2" w:rsidRDefault="00A34CF3">
      <w:pPr>
        <w:pStyle w:val="TOC3"/>
        <w:tabs>
          <w:tab w:val="left" w:pos="1100"/>
          <w:tab w:val="right" w:leader="dot" w:pos="8296"/>
        </w:tabs>
        <w:rPr>
          <w:rFonts w:asciiTheme="minorHAnsi" w:eastAsiaTheme="minorEastAsia" w:hAnsiTheme="minorHAnsi" w:cstheme="minorBidi"/>
          <w:noProof/>
          <w:sz w:val="22"/>
          <w:szCs w:val="22"/>
        </w:rPr>
      </w:pPr>
      <w:hyperlink w:anchor="_Toc360026201" w:history="1">
        <w:r w:rsidR="00BE4AC2" w:rsidRPr="00B605B6">
          <w:rPr>
            <w:rStyle w:val="Hyperlink"/>
            <w:noProof/>
          </w:rPr>
          <w:t>2.</w:t>
        </w:r>
        <w:r w:rsidR="00BE4AC2">
          <w:rPr>
            <w:rFonts w:asciiTheme="minorHAnsi" w:eastAsiaTheme="minorEastAsia" w:hAnsiTheme="minorHAnsi" w:cstheme="minorBidi"/>
            <w:noProof/>
            <w:sz w:val="22"/>
            <w:szCs w:val="22"/>
          </w:rPr>
          <w:tab/>
        </w:r>
        <w:r w:rsidR="00BE4AC2" w:rsidRPr="00B605B6">
          <w:rPr>
            <w:rStyle w:val="Hyperlink"/>
            <w:noProof/>
          </w:rPr>
          <w:t>Requests to clarify aspects of the proposed regulation</w:t>
        </w:r>
        <w:r w:rsidR="00BE4AC2">
          <w:rPr>
            <w:noProof/>
            <w:webHidden/>
          </w:rPr>
          <w:tab/>
        </w:r>
        <w:r w:rsidR="00BE4AC2">
          <w:rPr>
            <w:noProof/>
            <w:webHidden/>
          </w:rPr>
          <w:fldChar w:fldCharType="begin"/>
        </w:r>
        <w:r w:rsidR="00BE4AC2">
          <w:rPr>
            <w:noProof/>
            <w:webHidden/>
          </w:rPr>
          <w:instrText xml:space="preserve"> PAGEREF _Toc360026201 \h </w:instrText>
        </w:r>
        <w:r w:rsidR="00BE4AC2">
          <w:rPr>
            <w:noProof/>
            <w:webHidden/>
          </w:rPr>
        </w:r>
        <w:r w:rsidR="00BE4AC2">
          <w:rPr>
            <w:noProof/>
            <w:webHidden/>
          </w:rPr>
          <w:fldChar w:fldCharType="separate"/>
        </w:r>
        <w:r>
          <w:rPr>
            <w:noProof/>
            <w:webHidden/>
          </w:rPr>
          <w:t>8</w:t>
        </w:r>
        <w:r w:rsidR="00BE4AC2">
          <w:rPr>
            <w:noProof/>
            <w:webHidden/>
          </w:rPr>
          <w:fldChar w:fldCharType="end"/>
        </w:r>
      </w:hyperlink>
    </w:p>
    <w:p w:rsidR="00BE4AC2" w:rsidRDefault="00A34CF3">
      <w:pPr>
        <w:pStyle w:val="TOC3"/>
        <w:tabs>
          <w:tab w:val="left" w:pos="1100"/>
          <w:tab w:val="right" w:leader="dot" w:pos="8296"/>
        </w:tabs>
        <w:rPr>
          <w:rFonts w:asciiTheme="minorHAnsi" w:eastAsiaTheme="minorEastAsia" w:hAnsiTheme="minorHAnsi" w:cstheme="minorBidi"/>
          <w:noProof/>
          <w:sz w:val="22"/>
          <w:szCs w:val="22"/>
        </w:rPr>
      </w:pPr>
      <w:hyperlink w:anchor="_Toc360026202" w:history="1">
        <w:r w:rsidR="00BE4AC2" w:rsidRPr="00B605B6">
          <w:rPr>
            <w:rStyle w:val="Hyperlink"/>
            <w:noProof/>
          </w:rPr>
          <w:t>3.</w:t>
        </w:r>
        <w:r w:rsidR="00BE4AC2">
          <w:rPr>
            <w:rFonts w:asciiTheme="minorHAnsi" w:eastAsiaTheme="minorEastAsia" w:hAnsiTheme="minorHAnsi" w:cstheme="minorBidi"/>
            <w:noProof/>
            <w:sz w:val="22"/>
            <w:szCs w:val="22"/>
          </w:rPr>
          <w:tab/>
        </w:r>
        <w:r w:rsidR="00BE4AC2" w:rsidRPr="00B605B6">
          <w:rPr>
            <w:rStyle w:val="Hyperlink"/>
            <w:noProof/>
          </w:rPr>
          <w:t>A services standard is unwarranted or would introduce difficulty</w:t>
        </w:r>
        <w:r w:rsidR="00BE4AC2">
          <w:rPr>
            <w:noProof/>
            <w:webHidden/>
          </w:rPr>
          <w:tab/>
        </w:r>
        <w:r w:rsidR="00BE4AC2">
          <w:rPr>
            <w:noProof/>
            <w:webHidden/>
          </w:rPr>
          <w:fldChar w:fldCharType="begin"/>
        </w:r>
        <w:r w:rsidR="00BE4AC2">
          <w:rPr>
            <w:noProof/>
            <w:webHidden/>
          </w:rPr>
          <w:instrText xml:space="preserve"> PAGEREF _Toc360026202 \h </w:instrText>
        </w:r>
        <w:r w:rsidR="00BE4AC2">
          <w:rPr>
            <w:noProof/>
            <w:webHidden/>
          </w:rPr>
        </w:r>
        <w:r w:rsidR="00BE4AC2">
          <w:rPr>
            <w:noProof/>
            <w:webHidden/>
          </w:rPr>
          <w:fldChar w:fldCharType="separate"/>
        </w:r>
        <w:r>
          <w:rPr>
            <w:noProof/>
            <w:webHidden/>
          </w:rPr>
          <w:t>10</w:t>
        </w:r>
        <w:r w:rsidR="00BE4AC2">
          <w:rPr>
            <w:noProof/>
            <w:webHidden/>
          </w:rPr>
          <w:fldChar w:fldCharType="end"/>
        </w:r>
      </w:hyperlink>
    </w:p>
    <w:p w:rsidR="00BE4AC2" w:rsidRDefault="00A34CF3">
      <w:pPr>
        <w:pStyle w:val="TOC3"/>
        <w:tabs>
          <w:tab w:val="left" w:pos="1100"/>
          <w:tab w:val="right" w:leader="dot" w:pos="8296"/>
        </w:tabs>
        <w:rPr>
          <w:rFonts w:asciiTheme="minorHAnsi" w:eastAsiaTheme="minorEastAsia" w:hAnsiTheme="minorHAnsi" w:cstheme="minorBidi"/>
          <w:noProof/>
          <w:sz w:val="22"/>
          <w:szCs w:val="22"/>
        </w:rPr>
      </w:pPr>
      <w:hyperlink w:anchor="_Toc360026203" w:history="1">
        <w:r w:rsidR="00BE4AC2" w:rsidRPr="00B605B6">
          <w:rPr>
            <w:rStyle w:val="Hyperlink"/>
            <w:noProof/>
          </w:rPr>
          <w:t>4.</w:t>
        </w:r>
        <w:r w:rsidR="00BE4AC2">
          <w:rPr>
            <w:rFonts w:asciiTheme="minorHAnsi" w:eastAsiaTheme="minorEastAsia" w:hAnsiTheme="minorHAnsi" w:cstheme="minorBidi"/>
            <w:noProof/>
            <w:sz w:val="22"/>
            <w:szCs w:val="22"/>
          </w:rPr>
          <w:tab/>
        </w:r>
        <w:r w:rsidR="00BE4AC2" w:rsidRPr="00B605B6">
          <w:rPr>
            <w:rStyle w:val="Hyperlink"/>
            <w:noProof/>
          </w:rPr>
          <w:t>A services standard will not effectively mitigate the hazard</w:t>
        </w:r>
        <w:r w:rsidR="00BE4AC2">
          <w:rPr>
            <w:noProof/>
            <w:webHidden/>
          </w:rPr>
          <w:tab/>
        </w:r>
        <w:r w:rsidR="00BE4AC2">
          <w:rPr>
            <w:noProof/>
            <w:webHidden/>
          </w:rPr>
          <w:fldChar w:fldCharType="begin"/>
        </w:r>
        <w:r w:rsidR="00BE4AC2">
          <w:rPr>
            <w:noProof/>
            <w:webHidden/>
          </w:rPr>
          <w:instrText xml:space="preserve"> PAGEREF _Toc360026203 \h </w:instrText>
        </w:r>
        <w:r w:rsidR="00BE4AC2">
          <w:rPr>
            <w:noProof/>
            <w:webHidden/>
          </w:rPr>
        </w:r>
        <w:r w:rsidR="00BE4AC2">
          <w:rPr>
            <w:noProof/>
            <w:webHidden/>
          </w:rPr>
          <w:fldChar w:fldCharType="separate"/>
        </w:r>
        <w:r>
          <w:rPr>
            <w:noProof/>
            <w:webHidden/>
          </w:rPr>
          <w:t>11</w:t>
        </w:r>
        <w:r w:rsidR="00BE4AC2">
          <w:rPr>
            <w:noProof/>
            <w:webHidden/>
          </w:rPr>
          <w:fldChar w:fldCharType="end"/>
        </w:r>
      </w:hyperlink>
    </w:p>
    <w:p w:rsidR="00BE4AC2" w:rsidRDefault="00A34CF3">
      <w:pPr>
        <w:pStyle w:val="TOC3"/>
        <w:tabs>
          <w:tab w:val="left" w:pos="1100"/>
          <w:tab w:val="right" w:leader="dot" w:pos="8296"/>
        </w:tabs>
        <w:rPr>
          <w:rFonts w:asciiTheme="minorHAnsi" w:eastAsiaTheme="minorEastAsia" w:hAnsiTheme="minorHAnsi" w:cstheme="minorBidi"/>
          <w:noProof/>
          <w:sz w:val="22"/>
          <w:szCs w:val="22"/>
        </w:rPr>
      </w:pPr>
      <w:hyperlink w:anchor="_Toc360026204" w:history="1">
        <w:r w:rsidR="00BE4AC2" w:rsidRPr="00B605B6">
          <w:rPr>
            <w:rStyle w:val="Hyperlink"/>
            <w:noProof/>
          </w:rPr>
          <w:t>5.</w:t>
        </w:r>
        <w:r w:rsidR="00BE4AC2">
          <w:rPr>
            <w:rFonts w:asciiTheme="minorHAnsi" w:eastAsiaTheme="minorEastAsia" w:hAnsiTheme="minorHAnsi" w:cstheme="minorBidi"/>
            <w:noProof/>
            <w:sz w:val="22"/>
            <w:szCs w:val="22"/>
          </w:rPr>
          <w:tab/>
        </w:r>
        <w:r w:rsidR="00BE4AC2" w:rsidRPr="00B605B6">
          <w:rPr>
            <w:rStyle w:val="Hyperlink"/>
            <w:noProof/>
          </w:rPr>
          <w:t xml:space="preserve">A services standard won’t improve the safety of ‘DIY’ blinds that </w:t>
        </w:r>
        <w:r w:rsidR="00A61A63">
          <w:rPr>
            <w:rStyle w:val="Hyperlink"/>
            <w:noProof/>
          </w:rPr>
          <w:t xml:space="preserve"> </w:t>
        </w:r>
        <w:r w:rsidR="00BE4AC2" w:rsidRPr="00B605B6">
          <w:rPr>
            <w:rStyle w:val="Hyperlink"/>
            <w:noProof/>
          </w:rPr>
          <w:t>consumers install themselves</w:t>
        </w:r>
        <w:r w:rsidR="00BE4AC2">
          <w:rPr>
            <w:noProof/>
            <w:webHidden/>
          </w:rPr>
          <w:tab/>
        </w:r>
        <w:r w:rsidR="00BE4AC2">
          <w:rPr>
            <w:noProof/>
            <w:webHidden/>
          </w:rPr>
          <w:fldChar w:fldCharType="begin"/>
        </w:r>
        <w:r w:rsidR="00BE4AC2">
          <w:rPr>
            <w:noProof/>
            <w:webHidden/>
          </w:rPr>
          <w:instrText xml:space="preserve"> PAGEREF _Toc360026204 \h </w:instrText>
        </w:r>
        <w:r w:rsidR="00BE4AC2">
          <w:rPr>
            <w:noProof/>
            <w:webHidden/>
          </w:rPr>
        </w:r>
        <w:r w:rsidR="00BE4AC2">
          <w:rPr>
            <w:noProof/>
            <w:webHidden/>
          </w:rPr>
          <w:fldChar w:fldCharType="separate"/>
        </w:r>
        <w:r>
          <w:rPr>
            <w:noProof/>
            <w:webHidden/>
          </w:rPr>
          <w:t>12</w:t>
        </w:r>
        <w:r w:rsidR="00BE4AC2">
          <w:rPr>
            <w:noProof/>
            <w:webHidden/>
          </w:rPr>
          <w:fldChar w:fldCharType="end"/>
        </w:r>
      </w:hyperlink>
    </w:p>
    <w:p w:rsidR="00BE4AC2" w:rsidRDefault="00A34CF3">
      <w:pPr>
        <w:pStyle w:val="TOC1"/>
        <w:tabs>
          <w:tab w:val="right" w:leader="dot" w:pos="8296"/>
        </w:tabs>
        <w:rPr>
          <w:rFonts w:asciiTheme="minorHAnsi" w:eastAsiaTheme="minorEastAsia" w:hAnsiTheme="minorHAnsi" w:cstheme="minorBidi"/>
          <w:noProof/>
          <w:sz w:val="22"/>
          <w:szCs w:val="22"/>
        </w:rPr>
      </w:pPr>
      <w:hyperlink w:anchor="_Toc360026205" w:history="1">
        <w:r w:rsidR="00BE4AC2" w:rsidRPr="00B605B6">
          <w:rPr>
            <w:rStyle w:val="Hyperlink"/>
            <w:noProof/>
          </w:rPr>
          <w:t>Proposed Regulation</w:t>
        </w:r>
        <w:r w:rsidR="00BE4AC2">
          <w:rPr>
            <w:noProof/>
            <w:webHidden/>
          </w:rPr>
          <w:tab/>
        </w:r>
        <w:r w:rsidR="00BE4AC2">
          <w:rPr>
            <w:noProof/>
            <w:webHidden/>
          </w:rPr>
          <w:fldChar w:fldCharType="begin"/>
        </w:r>
        <w:r w:rsidR="00BE4AC2">
          <w:rPr>
            <w:noProof/>
            <w:webHidden/>
          </w:rPr>
          <w:instrText xml:space="preserve"> PAGEREF _Toc360026205 \h </w:instrText>
        </w:r>
        <w:r w:rsidR="00BE4AC2">
          <w:rPr>
            <w:noProof/>
            <w:webHidden/>
          </w:rPr>
        </w:r>
        <w:r w:rsidR="00BE4AC2">
          <w:rPr>
            <w:noProof/>
            <w:webHidden/>
          </w:rPr>
          <w:fldChar w:fldCharType="separate"/>
        </w:r>
        <w:r>
          <w:rPr>
            <w:noProof/>
            <w:webHidden/>
          </w:rPr>
          <w:t>12</w:t>
        </w:r>
        <w:r w:rsidR="00BE4AC2">
          <w:rPr>
            <w:noProof/>
            <w:webHidden/>
          </w:rPr>
          <w:fldChar w:fldCharType="end"/>
        </w:r>
      </w:hyperlink>
    </w:p>
    <w:p w:rsidR="00BE4AC2" w:rsidRDefault="00A34CF3">
      <w:pPr>
        <w:pStyle w:val="TOC3"/>
        <w:tabs>
          <w:tab w:val="right" w:leader="dot" w:pos="8296"/>
        </w:tabs>
        <w:rPr>
          <w:rFonts w:asciiTheme="minorHAnsi" w:eastAsiaTheme="minorEastAsia" w:hAnsiTheme="minorHAnsi" w:cstheme="minorBidi"/>
          <w:noProof/>
          <w:sz w:val="22"/>
          <w:szCs w:val="22"/>
        </w:rPr>
      </w:pPr>
      <w:hyperlink w:anchor="_Toc360026206" w:history="1">
        <w:r w:rsidR="00BE4AC2" w:rsidRPr="00B605B6">
          <w:rPr>
            <w:rStyle w:val="Hyperlink"/>
            <w:noProof/>
          </w:rPr>
          <w:t>Application</w:t>
        </w:r>
        <w:r w:rsidR="00BE4AC2">
          <w:rPr>
            <w:noProof/>
            <w:webHidden/>
          </w:rPr>
          <w:tab/>
        </w:r>
        <w:r w:rsidR="00BE4AC2">
          <w:rPr>
            <w:noProof/>
            <w:webHidden/>
          </w:rPr>
          <w:fldChar w:fldCharType="begin"/>
        </w:r>
        <w:r w:rsidR="00BE4AC2">
          <w:rPr>
            <w:noProof/>
            <w:webHidden/>
          </w:rPr>
          <w:instrText xml:space="preserve"> PAGEREF _Toc360026206 \h </w:instrText>
        </w:r>
        <w:r w:rsidR="00BE4AC2">
          <w:rPr>
            <w:noProof/>
            <w:webHidden/>
          </w:rPr>
        </w:r>
        <w:r w:rsidR="00BE4AC2">
          <w:rPr>
            <w:noProof/>
            <w:webHidden/>
          </w:rPr>
          <w:fldChar w:fldCharType="separate"/>
        </w:r>
        <w:r>
          <w:rPr>
            <w:noProof/>
            <w:webHidden/>
          </w:rPr>
          <w:t>13</w:t>
        </w:r>
        <w:r w:rsidR="00BE4AC2">
          <w:rPr>
            <w:noProof/>
            <w:webHidden/>
          </w:rPr>
          <w:fldChar w:fldCharType="end"/>
        </w:r>
      </w:hyperlink>
    </w:p>
    <w:p w:rsidR="00BE4AC2" w:rsidRDefault="00A34CF3">
      <w:pPr>
        <w:pStyle w:val="TOC3"/>
        <w:tabs>
          <w:tab w:val="right" w:leader="dot" w:pos="8296"/>
        </w:tabs>
        <w:rPr>
          <w:rFonts w:asciiTheme="minorHAnsi" w:eastAsiaTheme="minorEastAsia" w:hAnsiTheme="minorHAnsi" w:cstheme="minorBidi"/>
          <w:noProof/>
          <w:sz w:val="22"/>
          <w:szCs w:val="22"/>
        </w:rPr>
      </w:pPr>
      <w:hyperlink w:anchor="_Toc360026207" w:history="1">
        <w:r w:rsidR="00BE4AC2" w:rsidRPr="00B605B6">
          <w:rPr>
            <w:rStyle w:val="Hyperlink"/>
            <w:noProof/>
          </w:rPr>
          <w:t>Installation requirements</w:t>
        </w:r>
        <w:r w:rsidR="00BE4AC2">
          <w:rPr>
            <w:noProof/>
            <w:webHidden/>
          </w:rPr>
          <w:tab/>
        </w:r>
        <w:r w:rsidR="00BE4AC2">
          <w:rPr>
            <w:noProof/>
            <w:webHidden/>
          </w:rPr>
          <w:fldChar w:fldCharType="begin"/>
        </w:r>
        <w:r w:rsidR="00BE4AC2">
          <w:rPr>
            <w:noProof/>
            <w:webHidden/>
          </w:rPr>
          <w:instrText xml:space="preserve"> PAGEREF _Toc360026207 \h </w:instrText>
        </w:r>
        <w:r w:rsidR="00BE4AC2">
          <w:rPr>
            <w:noProof/>
            <w:webHidden/>
          </w:rPr>
        </w:r>
        <w:r w:rsidR="00BE4AC2">
          <w:rPr>
            <w:noProof/>
            <w:webHidden/>
          </w:rPr>
          <w:fldChar w:fldCharType="separate"/>
        </w:r>
        <w:r>
          <w:rPr>
            <w:noProof/>
            <w:webHidden/>
          </w:rPr>
          <w:t>13</w:t>
        </w:r>
        <w:r w:rsidR="00BE4AC2">
          <w:rPr>
            <w:noProof/>
            <w:webHidden/>
          </w:rPr>
          <w:fldChar w:fldCharType="end"/>
        </w:r>
      </w:hyperlink>
    </w:p>
    <w:p w:rsidR="00BE4AC2" w:rsidRDefault="00A34CF3">
      <w:pPr>
        <w:pStyle w:val="TOC3"/>
        <w:tabs>
          <w:tab w:val="right" w:leader="dot" w:pos="8296"/>
        </w:tabs>
        <w:rPr>
          <w:rFonts w:asciiTheme="minorHAnsi" w:eastAsiaTheme="minorEastAsia" w:hAnsiTheme="minorHAnsi" w:cstheme="minorBidi"/>
          <w:noProof/>
          <w:sz w:val="22"/>
          <w:szCs w:val="22"/>
        </w:rPr>
      </w:pPr>
      <w:hyperlink w:anchor="_Toc360026208" w:history="1">
        <w:r w:rsidR="00BE4AC2" w:rsidRPr="00B605B6">
          <w:rPr>
            <w:rStyle w:val="Hyperlink"/>
            <w:noProof/>
          </w:rPr>
          <w:t>Labelling requirements</w:t>
        </w:r>
        <w:r w:rsidR="00BE4AC2">
          <w:rPr>
            <w:noProof/>
            <w:webHidden/>
          </w:rPr>
          <w:tab/>
        </w:r>
        <w:r w:rsidR="00BE4AC2">
          <w:rPr>
            <w:noProof/>
            <w:webHidden/>
          </w:rPr>
          <w:fldChar w:fldCharType="begin"/>
        </w:r>
        <w:r w:rsidR="00BE4AC2">
          <w:rPr>
            <w:noProof/>
            <w:webHidden/>
          </w:rPr>
          <w:instrText xml:space="preserve"> PAGEREF _Toc360026208 \h </w:instrText>
        </w:r>
        <w:r w:rsidR="00BE4AC2">
          <w:rPr>
            <w:noProof/>
            <w:webHidden/>
          </w:rPr>
        </w:r>
        <w:r w:rsidR="00BE4AC2">
          <w:rPr>
            <w:noProof/>
            <w:webHidden/>
          </w:rPr>
          <w:fldChar w:fldCharType="separate"/>
        </w:r>
        <w:r>
          <w:rPr>
            <w:noProof/>
            <w:webHidden/>
          </w:rPr>
          <w:t>13</w:t>
        </w:r>
        <w:r w:rsidR="00BE4AC2">
          <w:rPr>
            <w:noProof/>
            <w:webHidden/>
          </w:rPr>
          <w:fldChar w:fldCharType="end"/>
        </w:r>
      </w:hyperlink>
    </w:p>
    <w:p w:rsidR="00BE4AC2" w:rsidRDefault="00A34CF3">
      <w:pPr>
        <w:pStyle w:val="TOC3"/>
        <w:tabs>
          <w:tab w:val="right" w:leader="dot" w:pos="8296"/>
        </w:tabs>
        <w:rPr>
          <w:rFonts w:asciiTheme="minorHAnsi" w:eastAsiaTheme="minorEastAsia" w:hAnsiTheme="minorHAnsi" w:cstheme="minorBidi"/>
          <w:noProof/>
          <w:sz w:val="22"/>
          <w:szCs w:val="22"/>
        </w:rPr>
      </w:pPr>
      <w:hyperlink w:anchor="_Toc360026209" w:history="1">
        <w:r w:rsidR="00BE4AC2" w:rsidRPr="00B605B6">
          <w:rPr>
            <w:rStyle w:val="Hyperlink"/>
            <w:noProof/>
          </w:rPr>
          <w:t>Penalties</w:t>
        </w:r>
        <w:r w:rsidR="00BE4AC2">
          <w:rPr>
            <w:noProof/>
            <w:webHidden/>
          </w:rPr>
          <w:tab/>
        </w:r>
        <w:r w:rsidR="00BE4AC2">
          <w:rPr>
            <w:noProof/>
            <w:webHidden/>
          </w:rPr>
          <w:fldChar w:fldCharType="begin"/>
        </w:r>
        <w:r w:rsidR="00BE4AC2">
          <w:rPr>
            <w:noProof/>
            <w:webHidden/>
          </w:rPr>
          <w:instrText xml:space="preserve"> PAGEREF _Toc360026209 \h </w:instrText>
        </w:r>
        <w:r w:rsidR="00BE4AC2">
          <w:rPr>
            <w:noProof/>
            <w:webHidden/>
          </w:rPr>
        </w:r>
        <w:r w:rsidR="00BE4AC2">
          <w:rPr>
            <w:noProof/>
            <w:webHidden/>
          </w:rPr>
          <w:fldChar w:fldCharType="separate"/>
        </w:r>
        <w:r>
          <w:rPr>
            <w:noProof/>
            <w:webHidden/>
          </w:rPr>
          <w:t>13</w:t>
        </w:r>
        <w:r w:rsidR="00BE4AC2">
          <w:rPr>
            <w:noProof/>
            <w:webHidden/>
          </w:rPr>
          <w:fldChar w:fldCharType="end"/>
        </w:r>
      </w:hyperlink>
    </w:p>
    <w:p w:rsidR="00BE4AC2" w:rsidRDefault="00A34CF3">
      <w:pPr>
        <w:pStyle w:val="TOC3"/>
        <w:tabs>
          <w:tab w:val="right" w:leader="dot" w:pos="8296"/>
        </w:tabs>
        <w:rPr>
          <w:rFonts w:asciiTheme="minorHAnsi" w:eastAsiaTheme="minorEastAsia" w:hAnsiTheme="minorHAnsi" w:cstheme="minorBidi"/>
          <w:noProof/>
          <w:sz w:val="22"/>
          <w:szCs w:val="22"/>
        </w:rPr>
      </w:pPr>
      <w:hyperlink w:anchor="_Toc360026210" w:history="1">
        <w:r w:rsidR="00BE4AC2" w:rsidRPr="00B605B6">
          <w:rPr>
            <w:rStyle w:val="Hyperlink"/>
            <w:noProof/>
          </w:rPr>
          <w:t>Supporting activities</w:t>
        </w:r>
        <w:r w:rsidR="00BE4AC2">
          <w:rPr>
            <w:noProof/>
            <w:webHidden/>
          </w:rPr>
          <w:tab/>
        </w:r>
        <w:r w:rsidR="00BE4AC2">
          <w:rPr>
            <w:noProof/>
            <w:webHidden/>
          </w:rPr>
          <w:fldChar w:fldCharType="begin"/>
        </w:r>
        <w:r w:rsidR="00BE4AC2">
          <w:rPr>
            <w:noProof/>
            <w:webHidden/>
          </w:rPr>
          <w:instrText xml:space="preserve"> PAGEREF _Toc360026210 \h </w:instrText>
        </w:r>
        <w:r w:rsidR="00BE4AC2">
          <w:rPr>
            <w:noProof/>
            <w:webHidden/>
          </w:rPr>
        </w:r>
        <w:r w:rsidR="00BE4AC2">
          <w:rPr>
            <w:noProof/>
            <w:webHidden/>
          </w:rPr>
          <w:fldChar w:fldCharType="separate"/>
        </w:r>
        <w:r>
          <w:rPr>
            <w:noProof/>
            <w:webHidden/>
          </w:rPr>
          <w:t>13</w:t>
        </w:r>
        <w:r w:rsidR="00BE4AC2">
          <w:rPr>
            <w:noProof/>
            <w:webHidden/>
          </w:rPr>
          <w:fldChar w:fldCharType="end"/>
        </w:r>
      </w:hyperlink>
    </w:p>
    <w:p w:rsidR="00BE4AC2" w:rsidRDefault="00A34CF3">
      <w:pPr>
        <w:pStyle w:val="TOC1"/>
        <w:tabs>
          <w:tab w:val="right" w:leader="dot" w:pos="8296"/>
        </w:tabs>
        <w:rPr>
          <w:rFonts w:asciiTheme="minorHAnsi" w:eastAsiaTheme="minorEastAsia" w:hAnsiTheme="minorHAnsi" w:cstheme="minorBidi"/>
          <w:noProof/>
          <w:sz w:val="22"/>
          <w:szCs w:val="22"/>
        </w:rPr>
      </w:pPr>
      <w:hyperlink w:anchor="_Toc360026211" w:history="1">
        <w:r w:rsidR="00BE4AC2" w:rsidRPr="00B605B6">
          <w:rPr>
            <w:rStyle w:val="Hyperlink"/>
            <w:noProof/>
          </w:rPr>
          <w:t>Anticipated impact on industry</w:t>
        </w:r>
        <w:r w:rsidR="00BE4AC2">
          <w:rPr>
            <w:noProof/>
            <w:webHidden/>
          </w:rPr>
          <w:tab/>
        </w:r>
        <w:r w:rsidR="00BE4AC2">
          <w:rPr>
            <w:noProof/>
            <w:webHidden/>
          </w:rPr>
          <w:fldChar w:fldCharType="begin"/>
        </w:r>
        <w:r w:rsidR="00BE4AC2">
          <w:rPr>
            <w:noProof/>
            <w:webHidden/>
          </w:rPr>
          <w:instrText xml:space="preserve"> PAGEREF _Toc360026211 \h </w:instrText>
        </w:r>
        <w:r w:rsidR="00BE4AC2">
          <w:rPr>
            <w:noProof/>
            <w:webHidden/>
          </w:rPr>
        </w:r>
        <w:r w:rsidR="00BE4AC2">
          <w:rPr>
            <w:noProof/>
            <w:webHidden/>
          </w:rPr>
          <w:fldChar w:fldCharType="separate"/>
        </w:r>
        <w:r>
          <w:rPr>
            <w:noProof/>
            <w:webHidden/>
          </w:rPr>
          <w:t>13</w:t>
        </w:r>
        <w:r w:rsidR="00BE4AC2">
          <w:rPr>
            <w:noProof/>
            <w:webHidden/>
          </w:rPr>
          <w:fldChar w:fldCharType="end"/>
        </w:r>
      </w:hyperlink>
    </w:p>
    <w:p w:rsidR="00BE4AC2" w:rsidRDefault="00A34CF3">
      <w:pPr>
        <w:pStyle w:val="TOC1"/>
        <w:tabs>
          <w:tab w:val="right" w:leader="dot" w:pos="8296"/>
        </w:tabs>
        <w:rPr>
          <w:rFonts w:asciiTheme="minorHAnsi" w:eastAsiaTheme="minorEastAsia" w:hAnsiTheme="minorHAnsi" w:cstheme="minorBidi"/>
          <w:noProof/>
          <w:sz w:val="22"/>
          <w:szCs w:val="22"/>
        </w:rPr>
      </w:pPr>
      <w:hyperlink w:anchor="_Toc360026212" w:history="1">
        <w:r w:rsidR="00BE4AC2" w:rsidRPr="00B605B6">
          <w:rPr>
            <w:rStyle w:val="Hyperlink"/>
            <w:noProof/>
          </w:rPr>
          <w:t>Timing</w:t>
        </w:r>
        <w:r w:rsidR="00BE4AC2">
          <w:rPr>
            <w:noProof/>
            <w:webHidden/>
          </w:rPr>
          <w:tab/>
        </w:r>
        <w:r w:rsidR="00BE4AC2">
          <w:rPr>
            <w:noProof/>
            <w:webHidden/>
          </w:rPr>
          <w:fldChar w:fldCharType="begin"/>
        </w:r>
        <w:r w:rsidR="00BE4AC2">
          <w:rPr>
            <w:noProof/>
            <w:webHidden/>
          </w:rPr>
          <w:instrText xml:space="preserve"> PAGEREF _Toc360026212 \h </w:instrText>
        </w:r>
        <w:r w:rsidR="00BE4AC2">
          <w:rPr>
            <w:noProof/>
            <w:webHidden/>
          </w:rPr>
        </w:r>
        <w:r w:rsidR="00BE4AC2">
          <w:rPr>
            <w:noProof/>
            <w:webHidden/>
          </w:rPr>
          <w:fldChar w:fldCharType="separate"/>
        </w:r>
        <w:r>
          <w:rPr>
            <w:noProof/>
            <w:webHidden/>
          </w:rPr>
          <w:t>14</w:t>
        </w:r>
        <w:r w:rsidR="00BE4AC2">
          <w:rPr>
            <w:noProof/>
            <w:webHidden/>
          </w:rPr>
          <w:fldChar w:fldCharType="end"/>
        </w:r>
      </w:hyperlink>
    </w:p>
    <w:p w:rsidR="007C4367" w:rsidRDefault="007C4367">
      <w:r>
        <w:rPr>
          <w:b/>
          <w:bCs/>
          <w:noProof/>
        </w:rPr>
        <w:fldChar w:fldCharType="end"/>
      </w:r>
    </w:p>
    <w:p w:rsidR="007C4367" w:rsidRDefault="007C4367" w:rsidP="007C4367"/>
    <w:p w:rsidR="000818FE" w:rsidRPr="005A6AF7" w:rsidRDefault="007C4367" w:rsidP="007C4367">
      <w:pPr>
        <w:pStyle w:val="Heading1"/>
      </w:pPr>
      <w:r>
        <w:rPr>
          <w:sz w:val="72"/>
          <w:szCs w:val="72"/>
          <w:u w:val="single"/>
        </w:rPr>
        <w:br w:type="page"/>
      </w:r>
      <w:bookmarkStart w:id="0" w:name="_Toc360026194"/>
      <w:r w:rsidR="000818FE" w:rsidRPr="005A6AF7">
        <w:t>Purpose</w:t>
      </w:r>
      <w:bookmarkEnd w:id="0"/>
    </w:p>
    <w:p w:rsidR="000818FE" w:rsidRPr="005A6AF7" w:rsidRDefault="000818FE" w:rsidP="000818FE"/>
    <w:p w:rsidR="000818FE" w:rsidRDefault="000818FE" w:rsidP="00DA44A4">
      <w:r w:rsidRPr="005A6AF7">
        <w:t xml:space="preserve">To </w:t>
      </w:r>
      <w:r w:rsidR="00F22504">
        <w:t xml:space="preserve">invite public comment on the details of the </w:t>
      </w:r>
      <w:r w:rsidR="00E77F1E">
        <w:t xml:space="preserve">proposed regulation </w:t>
      </w:r>
      <w:r w:rsidR="00F22504">
        <w:t xml:space="preserve">for </w:t>
      </w:r>
      <w:r w:rsidRPr="005A6AF7">
        <w:t xml:space="preserve">a </w:t>
      </w:r>
      <w:r w:rsidR="00F04618">
        <w:t>services</w:t>
      </w:r>
      <w:r w:rsidRPr="005A6AF7">
        <w:t xml:space="preserve"> standard relating to the safe installation of corded internal window </w:t>
      </w:r>
      <w:r w:rsidR="000D7090">
        <w:t>coverings</w:t>
      </w:r>
      <w:r w:rsidR="00FA35A9" w:rsidRPr="005A6AF7">
        <w:t xml:space="preserve"> </w:t>
      </w:r>
      <w:r w:rsidRPr="005A6AF7">
        <w:t>(CI</w:t>
      </w:r>
      <w:r w:rsidR="00F22504">
        <w:t>WC)</w:t>
      </w:r>
      <w:r w:rsidRPr="005A6AF7">
        <w:t>.</w:t>
      </w:r>
    </w:p>
    <w:p w:rsidR="00B2626B" w:rsidRDefault="00B2626B" w:rsidP="00DA44A4"/>
    <w:p w:rsidR="00B2626B" w:rsidRPr="005A6AF7" w:rsidRDefault="00B2626B" w:rsidP="00DA44A4">
      <w:r>
        <w:t xml:space="preserve">This is the second round of public consultation on regulating the installation of CIWC. The ACCC will consider feedback received via this consultation process before forming its recommendation to the Minister. </w:t>
      </w:r>
    </w:p>
    <w:p w:rsidR="000818FE" w:rsidRDefault="000818FE" w:rsidP="000818FE">
      <w:pPr>
        <w:rPr>
          <w:rFonts w:ascii="Arial" w:hAnsi="Arial" w:cs="Arial"/>
          <w:sz w:val="20"/>
          <w:szCs w:val="20"/>
        </w:rPr>
      </w:pPr>
    </w:p>
    <w:p w:rsidR="007C4367" w:rsidRDefault="007C4367" w:rsidP="007C4367">
      <w:pPr>
        <w:pStyle w:val="Heading1"/>
      </w:pPr>
      <w:bookmarkStart w:id="1" w:name="_Toc360026195"/>
      <w:r>
        <w:t>Summary</w:t>
      </w:r>
      <w:bookmarkEnd w:id="1"/>
    </w:p>
    <w:p w:rsidR="007C4367" w:rsidRDefault="007C4367" w:rsidP="007C4367"/>
    <w:p w:rsidR="00E51058" w:rsidRPr="00087210" w:rsidRDefault="00E51058" w:rsidP="00DA44A4">
      <w:r w:rsidRPr="00087210">
        <w:t xml:space="preserve">Comment is </w:t>
      </w:r>
      <w:r w:rsidR="00351FF3" w:rsidRPr="00087210">
        <w:t>sought</w:t>
      </w:r>
      <w:r w:rsidR="00E239EA" w:rsidRPr="00087210">
        <w:t xml:space="preserve"> on </w:t>
      </w:r>
      <w:r w:rsidR="003C4EA1" w:rsidRPr="00087210">
        <w:t xml:space="preserve">proposed </w:t>
      </w:r>
      <w:r w:rsidR="00E239EA" w:rsidRPr="00087210">
        <w:t xml:space="preserve">regulation on the </w:t>
      </w:r>
      <w:r w:rsidRPr="00087210">
        <w:t xml:space="preserve">installation of corded internal window coverings (CIWC) </w:t>
      </w:r>
      <w:r w:rsidR="003C4EA1" w:rsidRPr="00087210">
        <w:t xml:space="preserve">which is outlined </w:t>
      </w:r>
      <w:r w:rsidR="003C1A7C" w:rsidRPr="00087210">
        <w:t xml:space="preserve">in this consultation paper. </w:t>
      </w:r>
    </w:p>
    <w:p w:rsidR="003C1A7C" w:rsidRPr="00087210" w:rsidRDefault="003C1A7C" w:rsidP="00DA44A4"/>
    <w:p w:rsidR="003C1A7C" w:rsidRPr="00087210" w:rsidRDefault="003C1A7C" w:rsidP="003C1A7C">
      <w:r w:rsidRPr="00087210">
        <w:t>Due to concerns over child strangulation CIWC must</w:t>
      </w:r>
      <w:r w:rsidR="003C4EA1" w:rsidRPr="00087210">
        <w:t>,</w:t>
      </w:r>
      <w:r w:rsidRPr="00087210">
        <w:t xml:space="preserve"> by law</w:t>
      </w:r>
      <w:r w:rsidR="003C4EA1" w:rsidRPr="00087210">
        <w:t>,</w:t>
      </w:r>
      <w:r w:rsidRPr="00087210">
        <w:t xml:space="preserve"> be accompanied by safety warnings, safety instructions and any devices necessary to stop the formation of dangerous loops and lengths of cord. The </w:t>
      </w:r>
      <w:r w:rsidR="003C4EA1" w:rsidRPr="00087210">
        <w:t xml:space="preserve">proposed </w:t>
      </w:r>
      <w:r w:rsidRPr="00087210">
        <w:t xml:space="preserve">regulation </w:t>
      </w:r>
      <w:r w:rsidR="004275BA" w:rsidRPr="00087210">
        <w:t xml:space="preserve">concerns the installation, undertaken in trade or commerce, of CIWC in domestic dwellings. It </w:t>
      </w:r>
      <w:r w:rsidRPr="00087210">
        <w:t xml:space="preserve">requires </w:t>
      </w:r>
      <w:r w:rsidR="004275BA" w:rsidRPr="00087210">
        <w:t>the installer to</w:t>
      </w:r>
      <w:r w:rsidRPr="00087210">
        <w:t xml:space="preserve"> follow the safety instructions and use the </w:t>
      </w:r>
      <w:r w:rsidR="004275BA" w:rsidRPr="00087210">
        <w:t>safety device(s) supplied so that</w:t>
      </w:r>
      <w:r w:rsidRPr="00087210">
        <w:t xml:space="preserve"> hazardous lengths or loops of cord</w:t>
      </w:r>
      <w:r w:rsidR="004275BA" w:rsidRPr="00087210">
        <w:t xml:space="preserve"> are not formed</w:t>
      </w:r>
      <w:r w:rsidRPr="00087210">
        <w:t>.</w:t>
      </w:r>
    </w:p>
    <w:p w:rsidR="003C1A7C" w:rsidRPr="00087210" w:rsidRDefault="003C1A7C" w:rsidP="00DA44A4"/>
    <w:p w:rsidR="00A046CF" w:rsidRPr="00087210" w:rsidRDefault="00E51058" w:rsidP="00DA44A4">
      <w:r w:rsidRPr="00087210">
        <w:t>On the basis of response to a 2011 Discussion Paper on this proposal and subsequent discussion with stakeholders, the ACCC has concluded that there is no general objection to the regulation</w:t>
      </w:r>
      <w:r w:rsidR="003C4EA1" w:rsidRPr="00087210">
        <w:t xml:space="preserve">. </w:t>
      </w:r>
      <w:r w:rsidR="00A046CF" w:rsidRPr="00087210">
        <w:t>Given that hazardous installations resulting in dangerous cords or loops have occurred, the ACCC believes that a services standard requiring suppliers to install CIWC in a manner consistent with the instructions provided with the product is justified. On the basis of discussion with stakeholders the ACCC is of the view that such a regulation would involve minimal disruption or cost to industry.</w:t>
      </w:r>
    </w:p>
    <w:p w:rsidR="00A046CF" w:rsidRPr="00087210" w:rsidRDefault="00A046CF" w:rsidP="00DA44A4"/>
    <w:p w:rsidR="007C4367" w:rsidRPr="00087210" w:rsidRDefault="002C0414" w:rsidP="00DA44A4">
      <w:r w:rsidRPr="00087210">
        <w:t>Some details of the</w:t>
      </w:r>
      <w:r w:rsidR="003C4EA1" w:rsidRPr="00087210">
        <w:t xml:space="preserve"> draft </w:t>
      </w:r>
      <w:r w:rsidR="00E51058" w:rsidRPr="00087210">
        <w:t xml:space="preserve">regulation </w:t>
      </w:r>
      <w:r w:rsidR="003C4EA1" w:rsidRPr="00087210">
        <w:t>ha</w:t>
      </w:r>
      <w:r w:rsidRPr="00087210">
        <w:t>ve</w:t>
      </w:r>
      <w:r w:rsidR="003C4EA1" w:rsidRPr="00087210">
        <w:t xml:space="preserve"> been amended </w:t>
      </w:r>
      <w:r w:rsidR="00E51058" w:rsidRPr="00087210">
        <w:t xml:space="preserve">in line with specific concerns </w:t>
      </w:r>
      <w:r w:rsidR="003C4EA1" w:rsidRPr="00087210">
        <w:t xml:space="preserve">raised in discussion </w:t>
      </w:r>
      <w:r w:rsidR="00E51058" w:rsidRPr="00087210">
        <w:t xml:space="preserve">and </w:t>
      </w:r>
      <w:r w:rsidRPr="00087210">
        <w:t>informed by further research</w:t>
      </w:r>
      <w:r w:rsidR="00E51058" w:rsidRPr="00087210">
        <w:t xml:space="preserve">. This paper includes specific stakeholder comments, </w:t>
      </w:r>
      <w:r w:rsidR="000320C5">
        <w:t>and a response from the ACCC including</w:t>
      </w:r>
      <w:r w:rsidR="00E51058" w:rsidRPr="00087210">
        <w:t xml:space="preserve"> any adjustment to the proposal </w:t>
      </w:r>
      <w:r w:rsidR="000320C5">
        <w:t xml:space="preserve">that </w:t>
      </w:r>
      <w:r w:rsidR="00E51058" w:rsidRPr="00087210">
        <w:t>was made.</w:t>
      </w:r>
      <w:r w:rsidR="004275BA" w:rsidRPr="00087210">
        <w:t xml:space="preserve"> The Draft Regulation is attached.</w:t>
      </w:r>
    </w:p>
    <w:p w:rsidR="00E239EA" w:rsidRPr="00087210" w:rsidRDefault="00E239EA" w:rsidP="00DA44A4"/>
    <w:p w:rsidR="00E239EA" w:rsidRPr="00087210" w:rsidRDefault="00E239EA" w:rsidP="00DA44A4">
      <w:r w:rsidRPr="00087210">
        <w:t xml:space="preserve">If the </w:t>
      </w:r>
      <w:r w:rsidR="003C4EA1" w:rsidRPr="00087210">
        <w:t>propos</w:t>
      </w:r>
      <w:r w:rsidR="004275BA" w:rsidRPr="00087210">
        <w:t xml:space="preserve">ed regulation </w:t>
      </w:r>
      <w:r w:rsidR="00DF4A77" w:rsidRPr="00087210">
        <w:t xml:space="preserve">is </w:t>
      </w:r>
      <w:r w:rsidRPr="00087210">
        <w:t xml:space="preserve">adopted </w:t>
      </w:r>
      <w:r w:rsidR="00DF4A77" w:rsidRPr="00087210">
        <w:t xml:space="preserve">a person </w:t>
      </w:r>
      <w:r w:rsidRPr="00087210">
        <w:t>in trade or commerce</w:t>
      </w:r>
      <w:r w:rsidR="00DF4A77" w:rsidRPr="00087210">
        <w:t xml:space="preserve"> installing a CIWC in a domestic dwelling</w:t>
      </w:r>
      <w:r w:rsidR="003C4EA1" w:rsidRPr="00087210">
        <w:t xml:space="preserve"> and, against the safety instructions, leaving a </w:t>
      </w:r>
      <w:r w:rsidR="003C1A7C" w:rsidRPr="00087210">
        <w:t>dangerous length or loop of cord</w:t>
      </w:r>
      <w:r w:rsidR="000320C5">
        <w:t>,</w:t>
      </w:r>
      <w:r w:rsidR="003C1A7C" w:rsidRPr="00087210">
        <w:t xml:space="preserve"> </w:t>
      </w:r>
      <w:r w:rsidR="003C4EA1" w:rsidRPr="00087210">
        <w:t xml:space="preserve">would be in breach of the law. Such a </w:t>
      </w:r>
      <w:r w:rsidR="002C0414" w:rsidRPr="00087210">
        <w:t>regulation w</w:t>
      </w:r>
      <w:r w:rsidR="003C4EA1" w:rsidRPr="00087210">
        <w:t>ould only apply to installations made after the law comes into force.</w:t>
      </w:r>
    </w:p>
    <w:p w:rsidR="004275BA" w:rsidRPr="00087210" w:rsidRDefault="004275BA" w:rsidP="00DA44A4">
      <w:pPr>
        <w:rPr>
          <w:highlight w:val="yellow"/>
        </w:rPr>
      </w:pPr>
    </w:p>
    <w:p w:rsidR="007C4367" w:rsidRPr="005A6AF7" w:rsidRDefault="007C4367" w:rsidP="007C4367">
      <w:pPr>
        <w:pStyle w:val="Heading1"/>
      </w:pPr>
      <w:bookmarkStart w:id="2" w:name="_Toc360026196"/>
      <w:r>
        <w:t>Consultation</w:t>
      </w:r>
      <w:bookmarkEnd w:id="2"/>
    </w:p>
    <w:p w:rsidR="007C4367" w:rsidRPr="005A6AF7" w:rsidRDefault="007C4367" w:rsidP="007C4367"/>
    <w:p w:rsidR="00BE4AC2" w:rsidRDefault="007C4367" w:rsidP="00DA44A4">
      <w:r>
        <w:t>Submissions on the proposed regulation attached to this paper</w:t>
      </w:r>
      <w:r w:rsidR="004275BA">
        <w:t xml:space="preserve"> are invited</w:t>
      </w:r>
      <w:r>
        <w:t>.</w:t>
      </w:r>
      <w:r w:rsidR="004275BA">
        <w:t xml:space="preserve"> </w:t>
      </w:r>
      <w:r>
        <w:t xml:space="preserve">The closing date </w:t>
      </w:r>
      <w:r w:rsidR="005C5178">
        <w:t xml:space="preserve">for </w:t>
      </w:r>
      <w:r>
        <w:t xml:space="preserve">feedback to the ACCC is </w:t>
      </w:r>
      <w:r w:rsidR="00A61A63">
        <w:rPr>
          <w:b/>
        </w:rPr>
        <w:t>13 October</w:t>
      </w:r>
      <w:r w:rsidRPr="00F130DF">
        <w:rPr>
          <w:b/>
        </w:rPr>
        <w:t xml:space="preserve"> 2013</w:t>
      </w:r>
      <w:r>
        <w:t>.</w:t>
      </w:r>
      <w:r w:rsidR="005C5178">
        <w:t xml:space="preserve"> </w:t>
      </w:r>
    </w:p>
    <w:p w:rsidR="00BE4AC2" w:rsidRDefault="00BE4AC2" w:rsidP="00DA44A4"/>
    <w:p w:rsidR="007C4367" w:rsidRDefault="005C5178" w:rsidP="00DA44A4">
      <w:r>
        <w:t>Addressed to:</w:t>
      </w:r>
    </w:p>
    <w:p w:rsidR="007C4367" w:rsidRPr="005A6AF7" w:rsidRDefault="007C4367" w:rsidP="007C4367"/>
    <w:p w:rsidR="007C4367" w:rsidRDefault="007C4367" w:rsidP="007C4367">
      <w:pPr>
        <w:ind w:left="360"/>
        <w:rPr>
          <w:rStyle w:val="Hyperlink"/>
          <w:rFonts w:ascii="Arial" w:hAnsi="Arial" w:cs="Arial"/>
          <w:sz w:val="20"/>
          <w:szCs w:val="20"/>
        </w:rPr>
      </w:pPr>
      <w:r>
        <w:rPr>
          <w:b/>
        </w:rPr>
        <w:t>Email</w:t>
      </w:r>
      <w:r w:rsidRPr="007C4367">
        <w:rPr>
          <w:b/>
        </w:rPr>
        <w:t>:</w:t>
      </w:r>
      <w:r>
        <w:rPr>
          <w:b/>
        </w:rPr>
        <w:tab/>
      </w:r>
      <w:hyperlink r:id="rId10" w:tooltip="mailto:productsafety.regulation@accc.gov.au" w:history="1">
        <w:r w:rsidRPr="001A0557">
          <w:rPr>
            <w:rStyle w:val="Hyperlink"/>
            <w:rFonts w:ascii="Arial" w:hAnsi="Arial" w:cs="Arial"/>
            <w:sz w:val="20"/>
            <w:szCs w:val="20"/>
          </w:rPr>
          <w:t>productsafety.regulation@accc.gov.au</w:t>
        </w:r>
      </w:hyperlink>
    </w:p>
    <w:p w:rsidR="007C4367" w:rsidRPr="007C4367" w:rsidRDefault="007C4367" w:rsidP="007C4367">
      <w:pPr>
        <w:ind w:left="360"/>
      </w:pPr>
      <w:r>
        <w:rPr>
          <w:b/>
        </w:rPr>
        <w:t>Subject:</w:t>
      </w:r>
      <w:r>
        <w:rPr>
          <w:b/>
        </w:rPr>
        <w:tab/>
      </w:r>
      <w:r w:rsidRPr="007C4367">
        <w:t>Proposed</w:t>
      </w:r>
      <w:r>
        <w:rPr>
          <w:b/>
        </w:rPr>
        <w:t xml:space="preserve"> </w:t>
      </w:r>
      <w:r>
        <w:t xml:space="preserve">CIWC </w:t>
      </w:r>
      <w:r w:rsidR="00F04618">
        <w:t>services</w:t>
      </w:r>
      <w:r>
        <w:t xml:space="preserve"> standard</w:t>
      </w:r>
    </w:p>
    <w:p w:rsidR="007C4367" w:rsidRPr="005A6AF7" w:rsidRDefault="007C4367" w:rsidP="007C4367">
      <w:pPr>
        <w:ind w:left="360"/>
      </w:pPr>
    </w:p>
    <w:p w:rsidR="007C4367" w:rsidRPr="005A6AF7" w:rsidRDefault="007C4367" w:rsidP="007C4367">
      <w:pPr>
        <w:ind w:left="720"/>
      </w:pPr>
      <w:r w:rsidRPr="005A6AF7">
        <w:t>OR</w:t>
      </w:r>
    </w:p>
    <w:p w:rsidR="007C4367" w:rsidRPr="005A6AF7" w:rsidRDefault="007C4367" w:rsidP="007C4367">
      <w:pPr>
        <w:ind w:left="720"/>
      </w:pPr>
    </w:p>
    <w:p w:rsidR="007C4367" w:rsidRDefault="007C4367" w:rsidP="007C4367">
      <w:pPr>
        <w:ind w:left="360"/>
      </w:pPr>
      <w:r w:rsidRPr="00087210">
        <w:rPr>
          <w:b/>
        </w:rPr>
        <w:t>Mail to</w:t>
      </w:r>
      <w:r w:rsidRPr="005A6AF7">
        <w:t xml:space="preserve">: </w:t>
      </w:r>
      <w:r>
        <w:tab/>
        <w:t>ACCC</w:t>
      </w:r>
    </w:p>
    <w:p w:rsidR="007C4367" w:rsidRPr="005A6AF7" w:rsidRDefault="007C4367" w:rsidP="007C4367">
      <w:pPr>
        <w:ind w:left="1080" w:firstLine="360"/>
      </w:pPr>
      <w:r w:rsidRPr="005A6AF7">
        <w:t>Director</w:t>
      </w:r>
      <w:r>
        <w:t xml:space="preserve"> Regulated Products</w:t>
      </w:r>
      <w:r w:rsidR="00A93703">
        <w:t xml:space="preserve"> and Compliance</w:t>
      </w:r>
    </w:p>
    <w:p w:rsidR="007C4367" w:rsidRPr="005A6AF7" w:rsidRDefault="007C4367" w:rsidP="007C4367">
      <w:pPr>
        <w:ind w:left="1440"/>
      </w:pPr>
      <w:r w:rsidRPr="005A6AF7">
        <w:t>Product Safety Branch</w:t>
      </w:r>
    </w:p>
    <w:p w:rsidR="007C4367" w:rsidRPr="005A6AF7" w:rsidRDefault="007C4367" w:rsidP="007C4367">
      <w:pPr>
        <w:ind w:left="1440"/>
      </w:pPr>
      <w:r w:rsidRPr="005A6AF7">
        <w:t>PO Box 3131</w:t>
      </w:r>
    </w:p>
    <w:p w:rsidR="007C4367" w:rsidRDefault="007C4367" w:rsidP="007C4367">
      <w:pPr>
        <w:ind w:left="1440"/>
      </w:pPr>
      <w:smartTag w:uri="urn:schemas-microsoft-com:office:smarttags" w:element="City">
        <w:smartTag w:uri="urn:schemas-microsoft-com:office:smarttags" w:element="place">
          <w:r w:rsidRPr="005A6AF7">
            <w:t>Canberra</w:t>
          </w:r>
        </w:smartTag>
      </w:smartTag>
      <w:r w:rsidRPr="005A6AF7">
        <w:t xml:space="preserve"> ACT 2601</w:t>
      </w:r>
    </w:p>
    <w:p w:rsidR="00B72DAB" w:rsidRDefault="00B72DAB" w:rsidP="00B72DAB"/>
    <w:p w:rsidR="00DA6DB0" w:rsidRPr="00410A52" w:rsidRDefault="00DA6DB0" w:rsidP="00DA6DB0">
      <w:pPr>
        <w:autoSpaceDE w:val="0"/>
        <w:autoSpaceDN w:val="0"/>
        <w:adjustRightInd w:val="0"/>
        <w:spacing w:after="240"/>
      </w:pPr>
      <w:r w:rsidRPr="00410A52">
        <w:rPr>
          <w:sz w:val="22"/>
          <w:szCs w:val="22"/>
        </w:rPr>
        <w:t>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which you believe to be of a confidential nature should be clearly marked or identified as confidential.</w:t>
      </w:r>
    </w:p>
    <w:p w:rsidR="00DA6DB0" w:rsidRPr="00F83E63" w:rsidRDefault="00DA6DB0" w:rsidP="00DA6DB0">
      <w:pPr>
        <w:spacing w:after="240"/>
      </w:pPr>
      <w:r w:rsidRPr="00F83E63">
        <w:t xml:space="preserve">The ACCC may be compelled by law to disclose submissions (for example under subpoena or following a request under the </w:t>
      </w:r>
      <w:r w:rsidRPr="00F83E63">
        <w:rPr>
          <w:i/>
        </w:rPr>
        <w:t>Freedom of Information Act 1982</w:t>
      </w:r>
      <w:r w:rsidRPr="00F83E63">
        <w:t xml:space="preserve">). For more information see the ACCC-AER Information Policy available via </w:t>
      </w:r>
      <w:hyperlink r:id="rId11" w:history="1">
        <w:r w:rsidRPr="00F83E63">
          <w:rPr>
            <w:rStyle w:val="Hyperlink"/>
          </w:rPr>
          <w:t>www.accc.gov.au</w:t>
        </w:r>
      </w:hyperlink>
      <w:r>
        <w:t>.</w:t>
      </w:r>
      <w:r w:rsidRPr="00F83E63">
        <w:t xml:space="preserve"> </w:t>
      </w:r>
    </w:p>
    <w:p w:rsidR="000818FE" w:rsidRPr="005A6AF7" w:rsidRDefault="00515357" w:rsidP="007C4367">
      <w:pPr>
        <w:pStyle w:val="Heading1"/>
        <w:rPr>
          <w:b w:val="0"/>
        </w:rPr>
      </w:pPr>
      <w:bookmarkStart w:id="3" w:name="_Toc360026197"/>
      <w:r w:rsidRPr="007C4367">
        <w:t>Background</w:t>
      </w:r>
      <w:bookmarkEnd w:id="3"/>
    </w:p>
    <w:p w:rsidR="002D04E5" w:rsidRDefault="002D04E5" w:rsidP="00DA44A4">
      <w:pPr>
        <w:spacing w:before="120" w:after="240"/>
      </w:pPr>
      <w:r>
        <w:t xml:space="preserve">Since 1 January 2011, when the Australian Consumer Law was introduced, the Commonwealth Minister has had the power to create mandatory requirements covering </w:t>
      </w:r>
      <w:r>
        <w:rPr>
          <w:u w:val="single"/>
        </w:rPr>
        <w:t>services</w:t>
      </w:r>
      <w:r>
        <w:t xml:space="preserve"> related to consumer goods. This requirement is </w:t>
      </w:r>
      <w:r w:rsidR="00871D0B">
        <w:t>referred to</w:t>
      </w:r>
      <w:r w:rsidR="00F04618">
        <w:t xml:space="preserve"> </w:t>
      </w:r>
      <w:r>
        <w:t>as a ‘services standard’</w:t>
      </w:r>
      <w:r w:rsidR="007C4367">
        <w:t>.</w:t>
      </w:r>
    </w:p>
    <w:p w:rsidR="00871D0B" w:rsidRDefault="002D04E5" w:rsidP="00DA44A4">
      <w:pPr>
        <w:spacing w:before="120" w:after="240"/>
      </w:pPr>
      <w:r>
        <w:t>A services standard can contain a range of requirements</w:t>
      </w:r>
      <w:r w:rsidR="00F04618">
        <w:t xml:space="preserve"> </w:t>
      </w:r>
      <w:r>
        <w:t>including but not limited to prescribing how the service is to be performed, the materials to be used,</w:t>
      </w:r>
      <w:r w:rsidR="00F04618">
        <w:t xml:space="preserve"> and/or</w:t>
      </w:r>
      <w:r>
        <w:t xml:space="preserve"> the skills or qualifications of the person performing the service.</w:t>
      </w:r>
      <w:r w:rsidR="00871D0B" w:rsidRPr="00871D0B">
        <w:t xml:space="preserve"> </w:t>
      </w:r>
      <w:r w:rsidR="00871D0B">
        <w:t>Examples of services that could potentially be covered by a services standard include installation, repair, maintenance and removal.</w:t>
      </w:r>
    </w:p>
    <w:p w:rsidR="002D04E5" w:rsidRPr="00871D0B" w:rsidRDefault="00F04618" w:rsidP="00DA44A4">
      <w:pPr>
        <w:spacing w:before="120" w:after="240"/>
        <w:rPr>
          <w:sz w:val="20"/>
          <w:szCs w:val="20"/>
        </w:rPr>
      </w:pPr>
      <w:r>
        <w:t xml:space="preserve">This consultation paper contains a draft services standard for the installation of CIWC. </w:t>
      </w:r>
      <w:r w:rsidR="00871D0B">
        <w:t>It</w:t>
      </w:r>
      <w:r w:rsidR="002D04E5">
        <w:t xml:space="preserve"> was developed f</w:t>
      </w:r>
      <w:r w:rsidR="002D04E5" w:rsidRPr="00515357">
        <w:t xml:space="preserve">ollowing discussion with state and territory </w:t>
      </w:r>
      <w:r w:rsidR="002D04E5">
        <w:t xml:space="preserve">fair trading </w:t>
      </w:r>
      <w:r w:rsidR="002D04E5" w:rsidRPr="00515357">
        <w:t>agencies</w:t>
      </w:r>
      <w:r w:rsidR="004602FF">
        <w:t xml:space="preserve"> and</w:t>
      </w:r>
      <w:r w:rsidR="002D04E5">
        <w:t xml:space="preserve"> analysis of the deaths associated with CIWC</w:t>
      </w:r>
      <w:r>
        <w:t xml:space="preserve">. It also incorporates feedback received in response to </w:t>
      </w:r>
      <w:r w:rsidR="00871D0B">
        <w:t>a</w:t>
      </w:r>
      <w:r w:rsidR="002D04E5">
        <w:t xml:space="preserve">n initial discussion paper on the proposal </w:t>
      </w:r>
      <w:r w:rsidR="004602FF">
        <w:t>w</w:t>
      </w:r>
      <w:r w:rsidR="00871D0B">
        <w:t xml:space="preserve">hich </w:t>
      </w:r>
      <w:r w:rsidR="002D04E5">
        <w:t>was released for public comment in October 2011</w:t>
      </w:r>
      <w:r>
        <w:t xml:space="preserve">. </w:t>
      </w:r>
      <w:r w:rsidR="00A61A63">
        <w:t>T</w:t>
      </w:r>
      <w:r>
        <w:t xml:space="preserve">he initial paper is available </w:t>
      </w:r>
      <w:r w:rsidR="00A61A63">
        <w:t>at</w:t>
      </w:r>
      <w:r>
        <w:t xml:space="preserve">: </w:t>
      </w:r>
      <w:hyperlink r:id="rId12" w:history="1">
        <w:r w:rsidR="002D04E5" w:rsidRPr="00871D0B">
          <w:rPr>
            <w:rStyle w:val="Hyperlink"/>
            <w:sz w:val="20"/>
            <w:szCs w:val="20"/>
          </w:rPr>
          <w:t>http://www.productsafety.gov.au/content/index.phtml/itemId/989975/fromItemId/974977</w:t>
        </w:r>
      </w:hyperlink>
      <w:r w:rsidR="002D04E5" w:rsidRPr="00515357">
        <w:t>.</w:t>
      </w:r>
    </w:p>
    <w:p w:rsidR="002D04E5" w:rsidRDefault="00871D0B" w:rsidP="00DA44A4">
      <w:pPr>
        <w:spacing w:before="120" w:after="240"/>
      </w:pPr>
      <w:r>
        <w:t xml:space="preserve">The </w:t>
      </w:r>
      <w:r w:rsidR="00F04618">
        <w:t xml:space="preserve">ACCC is now seeking stakeholder comment </w:t>
      </w:r>
      <w:r w:rsidR="002D04E5">
        <w:t xml:space="preserve">on the detail of the </w:t>
      </w:r>
      <w:r w:rsidR="00F04618">
        <w:t>proposed services</w:t>
      </w:r>
      <w:r>
        <w:t xml:space="preserve"> standard.</w:t>
      </w:r>
      <w:r w:rsidR="00F04618">
        <w:t xml:space="preserve"> </w:t>
      </w:r>
    </w:p>
    <w:p w:rsidR="00373E3A" w:rsidRDefault="00351FF3" w:rsidP="00DA44A4">
      <w:pPr>
        <w:spacing w:before="120" w:after="240"/>
      </w:pPr>
      <w:r>
        <w:t>T</w:t>
      </w:r>
      <w:r w:rsidR="002D04E5">
        <w:t xml:space="preserve">he </w:t>
      </w:r>
      <w:r w:rsidR="00373E3A">
        <w:t xml:space="preserve">proposed </w:t>
      </w:r>
      <w:r w:rsidR="002D04E5">
        <w:t xml:space="preserve">services standard does not cover the sale or supply of </w:t>
      </w:r>
      <w:r w:rsidR="004602FF">
        <w:t>CIWC</w:t>
      </w:r>
      <w:r w:rsidR="00373E3A">
        <w:t xml:space="preserve">.  Sale and supply of CIWC </w:t>
      </w:r>
      <w:r w:rsidR="002D04E5">
        <w:t>are regulated under a supply standard</w:t>
      </w:r>
      <w:r w:rsidR="00373E3A">
        <w:t xml:space="preserve"> </w:t>
      </w:r>
      <w:r w:rsidR="002D04E5">
        <w:rPr>
          <w:color w:val="000000"/>
        </w:rPr>
        <w:t>which came into full effect after</w:t>
      </w:r>
      <w:r w:rsidR="002D04E5" w:rsidRPr="005A6AF7">
        <w:t xml:space="preserve"> 30 June </w:t>
      </w:r>
      <w:r w:rsidR="002D04E5" w:rsidRPr="00515357">
        <w:t>2011.</w:t>
      </w:r>
      <w:r w:rsidR="005C5178">
        <w:t xml:space="preserve"> Similarly, any service standard would not apply to existing CIWC but only to those installed after any regulation comes into force (see “Timing</w:t>
      </w:r>
      <w:r w:rsidR="002A52D1">
        <w:t>”</w:t>
      </w:r>
      <w:r w:rsidR="005C5178">
        <w:t>).</w:t>
      </w:r>
    </w:p>
    <w:p w:rsidR="00F50F8B" w:rsidRDefault="00F50F8B" w:rsidP="00DA44A4">
      <w:pPr>
        <w:spacing w:before="120" w:after="240"/>
      </w:pPr>
      <w:r>
        <w:t xml:space="preserve">The supply standard prescribes requirements which must be met before </w:t>
      </w:r>
      <w:r w:rsidR="0070288C">
        <w:t>CIWC</w:t>
      </w:r>
      <w:r>
        <w:t xml:space="preserve"> can be legally sold in Australia.</w:t>
      </w:r>
      <w:r w:rsidR="00373E3A">
        <w:t xml:space="preserve"> </w:t>
      </w:r>
      <w:r w:rsidR="004602FF">
        <w:t xml:space="preserve">The requirements </w:t>
      </w:r>
      <w:r w:rsidR="00373E3A">
        <w:t xml:space="preserve">were introduced because of </w:t>
      </w:r>
      <w:r w:rsidR="00373E3A" w:rsidRPr="005A6AF7">
        <w:t xml:space="preserve">concerns about child strangulation. </w:t>
      </w:r>
      <w:r w:rsidR="00373E3A">
        <w:t>At the time</w:t>
      </w:r>
      <w:r w:rsidR="004602FF">
        <w:t xml:space="preserve"> the national standard was proposed</w:t>
      </w:r>
      <w:r w:rsidR="00F04618">
        <w:t>,</w:t>
      </w:r>
      <w:r w:rsidR="00373E3A">
        <w:t xml:space="preserve"> the ACCC was aware of </w:t>
      </w:r>
      <w:r w:rsidR="00373E3A" w:rsidRPr="005A6AF7">
        <w:t xml:space="preserve">10 </w:t>
      </w:r>
      <w:r w:rsidR="004602FF">
        <w:t xml:space="preserve">child window cord strangulation </w:t>
      </w:r>
      <w:r w:rsidR="00373E3A">
        <w:t xml:space="preserve">deaths </w:t>
      </w:r>
      <w:r w:rsidR="00373E3A" w:rsidRPr="005A6AF7">
        <w:t xml:space="preserve">in </w:t>
      </w:r>
      <w:r w:rsidR="004602FF">
        <w:t>Australia in the period from 2000 to 2010.</w:t>
      </w:r>
    </w:p>
    <w:p w:rsidR="00957B4A" w:rsidRDefault="003A72F0" w:rsidP="00DA44A4">
      <w:pPr>
        <w:spacing w:before="120" w:after="240"/>
      </w:pPr>
      <w:r>
        <w:t xml:space="preserve">The </w:t>
      </w:r>
      <w:r w:rsidR="00F22504">
        <w:t xml:space="preserve">ACCC is </w:t>
      </w:r>
      <w:r>
        <w:t xml:space="preserve">now </w:t>
      </w:r>
      <w:r w:rsidR="00F22504">
        <w:t xml:space="preserve">aware </w:t>
      </w:r>
      <w:r w:rsidR="00F22504" w:rsidRPr="001E3F05">
        <w:t xml:space="preserve">of </w:t>
      </w:r>
      <w:r w:rsidR="00C31933" w:rsidRPr="001E3F05">
        <w:t>16</w:t>
      </w:r>
      <w:r w:rsidR="00F22504" w:rsidRPr="001E3F05">
        <w:t xml:space="preserve"> </w:t>
      </w:r>
      <w:r w:rsidR="00C31933" w:rsidRPr="001E3F05">
        <w:t xml:space="preserve">Australian </w:t>
      </w:r>
      <w:r w:rsidR="004602FF">
        <w:t xml:space="preserve">child window cord strangulation deaths </w:t>
      </w:r>
      <w:r w:rsidR="00E37F31">
        <w:t>during</w:t>
      </w:r>
      <w:r w:rsidR="004602FF">
        <w:t xml:space="preserve"> the period </w:t>
      </w:r>
      <w:r w:rsidR="00C31933" w:rsidRPr="001E3F05">
        <w:t>1999</w:t>
      </w:r>
      <w:r w:rsidR="004602FF">
        <w:t xml:space="preserve"> to 2013</w:t>
      </w:r>
      <w:r w:rsidR="00F22504" w:rsidRPr="001E3F05">
        <w:t>.</w:t>
      </w:r>
      <w:r w:rsidR="004602FF">
        <w:t xml:space="preserve"> At least one of these deaths was </w:t>
      </w:r>
      <w:r w:rsidR="00957B4A" w:rsidRPr="00D7355C">
        <w:t>caused by inappropriate and unsafe installation.</w:t>
      </w:r>
    </w:p>
    <w:p w:rsidR="00DA44A4" w:rsidRDefault="00F22504" w:rsidP="00DA44A4">
      <w:pPr>
        <w:spacing w:before="120" w:after="240"/>
      </w:pPr>
      <w:r>
        <w:t>T</w:t>
      </w:r>
      <w:r w:rsidR="00FA35A9" w:rsidRPr="005A6AF7">
        <w:t>he U</w:t>
      </w:r>
      <w:r w:rsidR="001E3F05">
        <w:t xml:space="preserve">nited States </w:t>
      </w:r>
      <w:r w:rsidR="003900B6">
        <w:t>Consumer Product Safety Commission (</w:t>
      </w:r>
      <w:r w:rsidR="00FA35A9" w:rsidRPr="005A6AF7">
        <w:t>CPSC</w:t>
      </w:r>
      <w:r w:rsidR="003900B6">
        <w:t>)</w:t>
      </w:r>
      <w:r w:rsidR="00FA35A9" w:rsidRPr="005A6AF7">
        <w:t xml:space="preserve"> </w:t>
      </w:r>
      <w:r w:rsidR="004602FF">
        <w:t xml:space="preserve">reports that there were </w:t>
      </w:r>
      <w:r w:rsidR="00FA35A9" w:rsidRPr="005A6AF7">
        <w:t>at least 200 child deaths in the</w:t>
      </w:r>
      <w:r w:rsidR="003A72F0">
        <w:t xml:space="preserve"> US in the</w:t>
      </w:r>
      <w:r w:rsidR="00FA35A9" w:rsidRPr="005A6AF7">
        <w:t xml:space="preserve"> period 1991 to 2005.</w:t>
      </w:r>
      <w:r>
        <w:t xml:space="preserve"> </w:t>
      </w:r>
    </w:p>
    <w:p w:rsidR="004602FF" w:rsidRPr="00DA44A4" w:rsidRDefault="005B5781" w:rsidP="00DA44A4">
      <w:pPr>
        <w:spacing w:before="120" w:after="240"/>
      </w:pPr>
      <w:r>
        <w:rPr>
          <w:u w:val="single"/>
        </w:rPr>
        <w:t>Requirements under Australian mandatory supply standard for CIWC</w:t>
      </w:r>
    </w:p>
    <w:p w:rsidR="00FA35A9" w:rsidRPr="005A6AF7" w:rsidRDefault="00FA35A9" w:rsidP="00DA44A4">
      <w:pPr>
        <w:spacing w:before="120" w:after="240"/>
      </w:pPr>
      <w:r w:rsidRPr="005A6AF7">
        <w:t>T</w:t>
      </w:r>
      <w:r w:rsidR="004602FF">
        <w:t xml:space="preserve">he </w:t>
      </w:r>
      <w:r w:rsidRPr="005A6AF7">
        <w:t>supply standard</w:t>
      </w:r>
      <w:r w:rsidR="004602FF">
        <w:t xml:space="preserve"> for CIWC</w:t>
      </w:r>
      <w:r w:rsidRPr="005A6AF7">
        <w:t>:</w:t>
      </w:r>
    </w:p>
    <w:p w:rsidR="00FA35A9" w:rsidRPr="005A6AF7" w:rsidRDefault="00F22504" w:rsidP="00DA44A4">
      <w:pPr>
        <w:numPr>
          <w:ilvl w:val="0"/>
          <w:numId w:val="4"/>
        </w:numPr>
        <w:tabs>
          <w:tab w:val="clear" w:pos="720"/>
          <w:tab w:val="num" w:pos="900"/>
        </w:tabs>
        <w:spacing w:before="120" w:line="240" w:lineRule="atLeast"/>
        <w:ind w:left="896" w:hanging="357"/>
        <w:jc w:val="both"/>
      </w:pPr>
      <w:r>
        <w:t>includes</w:t>
      </w:r>
      <w:r w:rsidR="00FA35A9" w:rsidRPr="005A6AF7">
        <w:t xml:space="preserve"> window coverings with a</w:t>
      </w:r>
      <w:r>
        <w:t xml:space="preserve"> cord, whether looped or not</w:t>
      </w:r>
      <w:r w:rsidR="00FA35A9" w:rsidRPr="005A6AF7">
        <w:t>;</w:t>
      </w:r>
    </w:p>
    <w:p w:rsidR="00FA35A9" w:rsidRPr="005A6AF7" w:rsidRDefault="00E2433F" w:rsidP="00DA44A4">
      <w:pPr>
        <w:numPr>
          <w:ilvl w:val="0"/>
          <w:numId w:val="4"/>
        </w:numPr>
        <w:tabs>
          <w:tab w:val="clear" w:pos="720"/>
          <w:tab w:val="num" w:pos="900"/>
        </w:tabs>
        <w:spacing w:before="120" w:line="240" w:lineRule="atLeast"/>
        <w:ind w:left="896" w:hanging="357"/>
        <w:jc w:val="both"/>
      </w:pPr>
      <w:r>
        <w:t>set</w:t>
      </w:r>
      <w:r w:rsidR="008D1D58">
        <w:t>s</w:t>
      </w:r>
      <w:r>
        <w:t xml:space="preserve"> </w:t>
      </w:r>
      <w:r w:rsidR="00FA35A9" w:rsidRPr="005A6AF7">
        <w:t xml:space="preserve">measurement of a hazardous loop </w:t>
      </w:r>
      <w:r>
        <w:t xml:space="preserve">at </w:t>
      </w:r>
      <w:r w:rsidR="00FA35A9" w:rsidRPr="005A6AF7">
        <w:t>220 mm;</w:t>
      </w:r>
    </w:p>
    <w:p w:rsidR="00433D78" w:rsidRDefault="00FA35A9" w:rsidP="00DA44A4">
      <w:pPr>
        <w:numPr>
          <w:ilvl w:val="0"/>
          <w:numId w:val="4"/>
        </w:numPr>
        <w:tabs>
          <w:tab w:val="clear" w:pos="720"/>
          <w:tab w:val="num" w:pos="900"/>
        </w:tabs>
        <w:spacing w:before="120" w:line="240" w:lineRule="atLeast"/>
        <w:ind w:left="896" w:hanging="357"/>
        <w:jc w:val="both"/>
      </w:pPr>
      <w:r w:rsidRPr="005A6AF7">
        <w:t>provide</w:t>
      </w:r>
      <w:r w:rsidR="00F22504">
        <w:t>s</w:t>
      </w:r>
      <w:r w:rsidRPr="005A6AF7">
        <w:t xml:space="preserve"> that a cord guide must be designed</w:t>
      </w:r>
    </w:p>
    <w:p w:rsidR="007F2BC1" w:rsidRDefault="00FA35A9" w:rsidP="00DA44A4">
      <w:pPr>
        <w:numPr>
          <w:ilvl w:val="1"/>
          <w:numId w:val="4"/>
        </w:numPr>
        <w:spacing w:before="120" w:line="240" w:lineRule="atLeast"/>
        <w:jc w:val="both"/>
      </w:pPr>
      <w:r w:rsidRPr="005A6AF7">
        <w:t>to remain firmly attached to a wall or other structure when subjected to a tension force of 70 Newtons applied in any direction for 10 seconds</w:t>
      </w:r>
      <w:r w:rsidR="00433D78">
        <w:t>,</w:t>
      </w:r>
      <w:r w:rsidRPr="005A6AF7">
        <w:t xml:space="preserve"> and </w:t>
      </w:r>
    </w:p>
    <w:p w:rsidR="007F2BC1" w:rsidRDefault="008D1D58" w:rsidP="00DA44A4">
      <w:pPr>
        <w:numPr>
          <w:ilvl w:val="1"/>
          <w:numId w:val="4"/>
        </w:numPr>
        <w:spacing w:before="120" w:line="240" w:lineRule="atLeast"/>
        <w:jc w:val="both"/>
      </w:pPr>
      <w:r>
        <w:t xml:space="preserve">to </w:t>
      </w:r>
      <w:r w:rsidR="00FA35A9" w:rsidRPr="005A6AF7">
        <w:t>prevent the possibility of a cord forming a loop of 220mm or longer at a height less than 1600mm above the floor</w:t>
      </w:r>
      <w:r w:rsidR="00433D78">
        <w:t>.</w:t>
      </w:r>
    </w:p>
    <w:p w:rsidR="00433D78" w:rsidRPr="009110BF" w:rsidRDefault="00FA35A9" w:rsidP="00DA44A4">
      <w:pPr>
        <w:numPr>
          <w:ilvl w:val="0"/>
          <w:numId w:val="4"/>
        </w:numPr>
        <w:tabs>
          <w:tab w:val="clear" w:pos="720"/>
          <w:tab w:val="num" w:pos="900"/>
        </w:tabs>
        <w:spacing w:before="120" w:line="240" w:lineRule="atLeast"/>
        <w:ind w:left="896" w:hanging="357"/>
        <w:jc w:val="both"/>
      </w:pPr>
      <w:r w:rsidRPr="005A6AF7">
        <w:t xml:space="preserve">A CIWC must </w:t>
      </w:r>
      <w:r w:rsidRPr="009110BF">
        <w:t>come with all of the following</w:t>
      </w:r>
      <w:r w:rsidR="00433D78" w:rsidRPr="009110BF">
        <w:t>:</w:t>
      </w:r>
    </w:p>
    <w:p w:rsidR="007F2BC1" w:rsidRPr="009110BF" w:rsidRDefault="00FA35A9" w:rsidP="00DA44A4">
      <w:pPr>
        <w:numPr>
          <w:ilvl w:val="1"/>
          <w:numId w:val="4"/>
        </w:numPr>
        <w:spacing w:before="120" w:line="240" w:lineRule="atLeast"/>
        <w:jc w:val="both"/>
      </w:pPr>
      <w:r w:rsidRPr="009110BF">
        <w:t>a warning label on any retail packaging</w:t>
      </w:r>
    </w:p>
    <w:p w:rsidR="007F2BC1" w:rsidRPr="009110BF" w:rsidRDefault="00FA35A9" w:rsidP="00DA44A4">
      <w:pPr>
        <w:numPr>
          <w:ilvl w:val="1"/>
          <w:numId w:val="4"/>
        </w:numPr>
        <w:spacing w:before="120" w:line="240" w:lineRule="atLeast"/>
        <w:jc w:val="both"/>
      </w:pPr>
      <w:r w:rsidRPr="009110BF">
        <w:t>a warning label or swing tag attached to the cord; installation instructions containing required information</w:t>
      </w:r>
    </w:p>
    <w:p w:rsidR="007F2BC1" w:rsidRDefault="00FA35A9" w:rsidP="00DA44A4">
      <w:pPr>
        <w:numPr>
          <w:ilvl w:val="1"/>
          <w:numId w:val="4"/>
        </w:numPr>
        <w:spacing w:before="120" w:line="240" w:lineRule="atLeast"/>
        <w:jc w:val="both"/>
      </w:pPr>
      <w:r w:rsidRPr="009110BF">
        <w:t>any components specified in the installation instructions as necessary for cord safety requirements</w:t>
      </w:r>
      <w:r w:rsidRPr="005A6AF7">
        <w:t xml:space="preserve">.  </w:t>
      </w:r>
    </w:p>
    <w:p w:rsidR="008D1D58" w:rsidRDefault="00FA35A9" w:rsidP="00A17754">
      <w:pPr>
        <w:spacing w:before="120" w:after="240"/>
        <w:ind w:left="360"/>
      </w:pPr>
      <w:r w:rsidRPr="005A6AF7">
        <w:t xml:space="preserve">The wording in the warning labels attached to the products </w:t>
      </w:r>
      <w:r w:rsidR="00BF39DA">
        <w:t xml:space="preserve">and the additional warning label on retail packaging </w:t>
      </w:r>
      <w:r w:rsidR="00E37F31">
        <w:t xml:space="preserve">must </w:t>
      </w:r>
      <w:r w:rsidR="00BF39DA">
        <w:t xml:space="preserve">make it clear that </w:t>
      </w:r>
      <w:r w:rsidRPr="005A6AF7">
        <w:t>the hazard is death.</w:t>
      </w:r>
    </w:p>
    <w:p w:rsidR="007F2BC1" w:rsidRDefault="00A17754" w:rsidP="00E37F31">
      <w:pPr>
        <w:spacing w:before="120" w:after="240"/>
        <w:ind w:left="360"/>
      </w:pPr>
      <w:r>
        <w:t>W</w:t>
      </w:r>
      <w:r w:rsidR="00FA35A9" w:rsidRPr="005A6AF7">
        <w:t>arnings labels and swing tags must conform to specified requirements</w:t>
      </w:r>
      <w:r w:rsidR="008D1D58">
        <w:t>,</w:t>
      </w:r>
      <w:r w:rsidR="00FA35A9" w:rsidRPr="005A6AF7">
        <w:t xml:space="preserve"> </w:t>
      </w:r>
      <w:r w:rsidR="00433D78">
        <w:t xml:space="preserve">including </w:t>
      </w:r>
      <w:r w:rsidR="00E37F31">
        <w:t xml:space="preserve">that they are </w:t>
      </w:r>
      <w:r w:rsidR="00FA35A9" w:rsidRPr="005A6AF7">
        <w:t>legible</w:t>
      </w:r>
      <w:r w:rsidR="00E37F31">
        <w:t>, and are i</w:t>
      </w:r>
      <w:r w:rsidR="00FA35A9" w:rsidRPr="005A6AF7">
        <w:t>n red</w:t>
      </w:r>
      <w:r w:rsidR="00E37F31">
        <w:t xml:space="preserve"> u</w:t>
      </w:r>
      <w:r w:rsidR="00FA35A9" w:rsidRPr="005A6AF7">
        <w:t>ppercase letters</w:t>
      </w:r>
      <w:r w:rsidR="00E37F31">
        <w:t xml:space="preserve"> </w:t>
      </w:r>
      <w:r w:rsidR="00FA35A9" w:rsidRPr="005A6AF7">
        <w:t>at least 5mm high</w:t>
      </w:r>
      <w:r w:rsidR="00E37F31">
        <w:t xml:space="preserve"> on</w:t>
      </w:r>
      <w:r w:rsidR="00FA35A9" w:rsidRPr="005A6AF7">
        <w:t xml:space="preserve"> a white background.  </w:t>
      </w:r>
    </w:p>
    <w:p w:rsidR="00CE2213" w:rsidRPr="009110BF" w:rsidRDefault="00FA35A9" w:rsidP="00F50F8B">
      <w:pPr>
        <w:spacing w:before="120" w:after="240" w:line="240" w:lineRule="atLeast"/>
        <w:ind w:left="360"/>
        <w:jc w:val="both"/>
      </w:pPr>
      <w:r w:rsidRPr="005A6AF7">
        <w:t xml:space="preserve">The text for warnings and for swing tags </w:t>
      </w:r>
      <w:r w:rsidR="00E37F31">
        <w:t>is</w:t>
      </w:r>
      <w:r w:rsidRPr="005A6AF7">
        <w:t xml:space="preserve"> prescribed and </w:t>
      </w:r>
      <w:r w:rsidR="00E37F31">
        <w:t xml:space="preserve">must </w:t>
      </w:r>
      <w:r w:rsidRPr="005A6AF7">
        <w:t xml:space="preserve">indicate the reason for the warning, </w:t>
      </w:r>
      <w:r w:rsidRPr="009110BF">
        <w:t>the threat to children and safety advice.</w:t>
      </w:r>
    </w:p>
    <w:p w:rsidR="00884C33" w:rsidRPr="009110BF" w:rsidRDefault="00815E55" w:rsidP="007C4367">
      <w:pPr>
        <w:pStyle w:val="Heading1"/>
      </w:pPr>
      <w:bookmarkStart w:id="4" w:name="_Toc360026198"/>
      <w:r>
        <w:t xml:space="preserve">Why a </w:t>
      </w:r>
      <w:r w:rsidR="00F50F8B" w:rsidRPr="009110BF">
        <w:t>s</w:t>
      </w:r>
      <w:r w:rsidR="009932DD" w:rsidRPr="009110BF">
        <w:t>ervice</w:t>
      </w:r>
      <w:r w:rsidR="00F50F8B" w:rsidRPr="009110BF">
        <w:t>s s</w:t>
      </w:r>
      <w:r w:rsidR="009932DD" w:rsidRPr="009110BF">
        <w:t>tandard</w:t>
      </w:r>
      <w:r w:rsidR="00F50F8B" w:rsidRPr="009110BF">
        <w:t xml:space="preserve"> for</w:t>
      </w:r>
      <w:r w:rsidR="0070288C" w:rsidRPr="009110BF">
        <w:t xml:space="preserve"> </w:t>
      </w:r>
      <w:r w:rsidR="00B70157" w:rsidRPr="009110BF">
        <w:t xml:space="preserve">CIWC </w:t>
      </w:r>
      <w:r>
        <w:t>installation?</w:t>
      </w:r>
      <w:bookmarkEnd w:id="4"/>
    </w:p>
    <w:p w:rsidR="00FA35A9" w:rsidRPr="005A6AF7" w:rsidRDefault="005C5178" w:rsidP="00DA44A4">
      <w:r>
        <w:t>A</w:t>
      </w:r>
      <w:r w:rsidR="00E231CE">
        <w:t xml:space="preserve"> number of factors support </w:t>
      </w:r>
      <w:r w:rsidR="00FA35A9" w:rsidRPr="005A6AF7">
        <w:t xml:space="preserve">a mandatory </w:t>
      </w:r>
      <w:r w:rsidR="00F04618">
        <w:t>services</w:t>
      </w:r>
      <w:r w:rsidR="00FA35A9" w:rsidRPr="005A6AF7">
        <w:t xml:space="preserve"> standard </w:t>
      </w:r>
      <w:r w:rsidR="00F50F8B">
        <w:t>for the</w:t>
      </w:r>
      <w:r w:rsidR="00FA35A9" w:rsidRPr="005A6AF7">
        <w:t xml:space="preserve"> installation of CIWC:</w:t>
      </w:r>
    </w:p>
    <w:p w:rsidR="00FA35A9" w:rsidRPr="005A6AF7" w:rsidRDefault="003D3AED" w:rsidP="00FA35A9">
      <w:pPr>
        <w:numPr>
          <w:ilvl w:val="0"/>
          <w:numId w:val="4"/>
        </w:numPr>
        <w:tabs>
          <w:tab w:val="clear" w:pos="720"/>
          <w:tab w:val="num" w:pos="900"/>
        </w:tabs>
        <w:spacing w:before="120" w:line="240" w:lineRule="atLeast"/>
        <w:ind w:left="896" w:hanging="357"/>
        <w:jc w:val="both"/>
      </w:pPr>
      <w:r>
        <w:t>f</w:t>
      </w:r>
      <w:r w:rsidR="00FA35A9" w:rsidRPr="005A6AF7">
        <w:t xml:space="preserve">ailure to </w:t>
      </w:r>
      <w:r w:rsidR="00815E55">
        <w:t xml:space="preserve">properly </w:t>
      </w:r>
      <w:r w:rsidR="00FA35A9" w:rsidRPr="005A6AF7">
        <w:t>install a CIWC represents a potentially life threatening hazard</w:t>
      </w:r>
      <w:r w:rsidR="00815E55">
        <w:t xml:space="preserve">—as evidenced by the number of deaths associated with </w:t>
      </w:r>
      <w:r w:rsidR="00FA35A9" w:rsidRPr="005A6AF7">
        <w:t>CIWC</w:t>
      </w:r>
      <w:r w:rsidR="00A17754">
        <w:t>;</w:t>
      </w:r>
    </w:p>
    <w:p w:rsidR="00087210" w:rsidRDefault="00FA35A9" w:rsidP="00087210">
      <w:pPr>
        <w:numPr>
          <w:ilvl w:val="0"/>
          <w:numId w:val="4"/>
        </w:numPr>
        <w:tabs>
          <w:tab w:val="clear" w:pos="720"/>
          <w:tab w:val="num" w:pos="900"/>
        </w:tabs>
        <w:spacing w:before="120" w:line="240" w:lineRule="atLeast"/>
        <w:ind w:left="896" w:hanging="357"/>
        <w:jc w:val="both"/>
      </w:pPr>
      <w:proofErr w:type="gramStart"/>
      <w:r w:rsidRPr="005A6AF7">
        <w:t>unsafe</w:t>
      </w:r>
      <w:proofErr w:type="gramEnd"/>
      <w:r w:rsidRPr="005A6AF7">
        <w:t xml:space="preserve"> installation is a contributory factor to the hazard presented by CIW</w:t>
      </w:r>
      <w:r w:rsidR="00815E55">
        <w:t>C</w:t>
      </w:r>
      <w:r w:rsidRPr="005A6AF7">
        <w:t xml:space="preserve"> and</w:t>
      </w:r>
      <w:r w:rsidR="00F4359D">
        <w:t>,</w:t>
      </w:r>
      <w:r w:rsidRPr="005A6AF7">
        <w:t xml:space="preserve"> </w:t>
      </w:r>
      <w:r w:rsidR="003D3AED">
        <w:t xml:space="preserve">although </w:t>
      </w:r>
      <w:r w:rsidR="007F2BC1">
        <w:t xml:space="preserve">industry submission and </w:t>
      </w:r>
      <w:r w:rsidR="003D3AED">
        <w:t>anecdotal evidence i</w:t>
      </w:r>
      <w:r w:rsidR="007F2BC1">
        <w:t>ndicates</w:t>
      </w:r>
      <w:r w:rsidR="003D3AED">
        <w:t xml:space="preserve"> most suppliers follow supply instructions, </w:t>
      </w:r>
      <w:r w:rsidR="009932DD" w:rsidRPr="005A6AF7">
        <w:t xml:space="preserve">there are </w:t>
      </w:r>
      <w:r w:rsidRPr="005A6AF7">
        <w:t xml:space="preserve">indications that </w:t>
      </w:r>
      <w:r w:rsidR="003D3AED">
        <w:t xml:space="preserve">some </w:t>
      </w:r>
      <w:r w:rsidRPr="005A6AF7">
        <w:t xml:space="preserve">unsafe installation </w:t>
      </w:r>
      <w:r w:rsidR="007F2BC1">
        <w:t>continues to occur</w:t>
      </w:r>
      <w:r w:rsidR="000320C5">
        <w:t>. I</w:t>
      </w:r>
      <w:r w:rsidR="00087210">
        <w:t xml:space="preserve">f a services standard is adopted then installation (by someone in trade or commerce) of a CIWC with dangerous loops or lengths and/or without the safety devices required to prevent the formation of dangerous loops or lengths would be a breach of the law. </w:t>
      </w:r>
    </w:p>
    <w:p w:rsidR="00FA35A9" w:rsidRPr="00486A55" w:rsidRDefault="00A17754" w:rsidP="00FA35A9">
      <w:pPr>
        <w:numPr>
          <w:ilvl w:val="0"/>
          <w:numId w:val="4"/>
        </w:numPr>
        <w:tabs>
          <w:tab w:val="clear" w:pos="720"/>
          <w:tab w:val="num" w:pos="900"/>
        </w:tabs>
        <w:spacing w:before="120" w:line="240" w:lineRule="atLeast"/>
        <w:ind w:left="900"/>
        <w:jc w:val="both"/>
      </w:pPr>
      <w:r>
        <w:t xml:space="preserve">safe installation is </w:t>
      </w:r>
      <w:r w:rsidR="00FA35A9" w:rsidRPr="005A6AF7">
        <w:t>consistent with</w:t>
      </w:r>
      <w:r w:rsidR="000320C5">
        <w:t>,</w:t>
      </w:r>
      <w:r w:rsidR="00FA35A9" w:rsidRPr="005A6AF7">
        <w:t xml:space="preserve"> and only a small extension of</w:t>
      </w:r>
      <w:r w:rsidR="000320C5">
        <w:t>,</w:t>
      </w:r>
      <w:r w:rsidR="00FA35A9" w:rsidRPr="005A6AF7">
        <w:t xml:space="preserve"> existing </w:t>
      </w:r>
      <w:r w:rsidR="00E231CE">
        <w:t>requirements</w:t>
      </w:r>
      <w:r w:rsidR="003D3AED">
        <w:t xml:space="preserve"> </w:t>
      </w:r>
      <w:r w:rsidR="00FA35A9" w:rsidRPr="005A6AF7">
        <w:t>relating to supply</w:t>
      </w:r>
      <w:r>
        <w:t>;</w:t>
      </w:r>
      <w:r w:rsidR="00FA35A9" w:rsidRPr="005A6AF7">
        <w:t xml:space="preserve">  </w:t>
      </w:r>
    </w:p>
    <w:p w:rsidR="000D7090" w:rsidRDefault="000D7090" w:rsidP="00486A55">
      <w:pPr>
        <w:numPr>
          <w:ilvl w:val="0"/>
          <w:numId w:val="4"/>
        </w:numPr>
        <w:tabs>
          <w:tab w:val="clear" w:pos="720"/>
          <w:tab w:val="num" w:pos="900"/>
        </w:tabs>
        <w:spacing w:before="120" w:line="240" w:lineRule="atLeast"/>
        <w:ind w:left="896" w:hanging="357"/>
        <w:jc w:val="both"/>
      </w:pPr>
      <w:r>
        <w:t xml:space="preserve">installing CIWC </w:t>
      </w:r>
      <w:r>
        <w:rPr>
          <w:u w:val="single"/>
        </w:rPr>
        <w:t>safely</w:t>
      </w:r>
      <w:r>
        <w:t xml:space="preserve"> involves very little additional effort during the installation process</w:t>
      </w:r>
    </w:p>
    <w:p w:rsidR="00486A55" w:rsidRDefault="00FA35A9" w:rsidP="00486A55">
      <w:pPr>
        <w:numPr>
          <w:ilvl w:val="0"/>
          <w:numId w:val="4"/>
        </w:numPr>
        <w:tabs>
          <w:tab w:val="clear" w:pos="720"/>
          <w:tab w:val="num" w:pos="900"/>
        </w:tabs>
        <w:spacing w:before="120" w:line="240" w:lineRule="atLeast"/>
        <w:ind w:left="896" w:hanging="357"/>
        <w:jc w:val="both"/>
      </w:pPr>
      <w:r w:rsidRPr="00486A55">
        <w:t xml:space="preserve">any </w:t>
      </w:r>
      <w:r w:rsidR="005C5178">
        <w:t xml:space="preserve">instructions and </w:t>
      </w:r>
      <w:r w:rsidRPr="00486A55">
        <w:t>safety devices require</w:t>
      </w:r>
      <w:r w:rsidR="00A33709" w:rsidRPr="00486A55">
        <w:t xml:space="preserve">d </w:t>
      </w:r>
      <w:r w:rsidR="00A17754">
        <w:t xml:space="preserve">for safe installation </w:t>
      </w:r>
      <w:r w:rsidR="005C5178">
        <w:t xml:space="preserve">of CIWC </w:t>
      </w:r>
      <w:r w:rsidR="00E231CE">
        <w:t xml:space="preserve">must </w:t>
      </w:r>
      <w:r w:rsidR="00A17754">
        <w:t xml:space="preserve">already </w:t>
      </w:r>
      <w:r w:rsidR="00E231CE">
        <w:t xml:space="preserve">be </w:t>
      </w:r>
      <w:r w:rsidR="005B5781">
        <w:t>available</w:t>
      </w:r>
      <w:r w:rsidR="005C5178">
        <w:t xml:space="preserve"> and supplied with the product under the provisions of the </w:t>
      </w:r>
      <w:r w:rsidR="005B5781">
        <w:t>supply standard</w:t>
      </w:r>
      <w:r w:rsidR="00A17754">
        <w:t>;</w:t>
      </w:r>
    </w:p>
    <w:p w:rsidR="00486A55" w:rsidRDefault="000E2238" w:rsidP="00486A55">
      <w:pPr>
        <w:numPr>
          <w:ilvl w:val="0"/>
          <w:numId w:val="4"/>
        </w:numPr>
        <w:tabs>
          <w:tab w:val="clear" w:pos="720"/>
          <w:tab w:val="num" w:pos="900"/>
        </w:tabs>
        <w:spacing w:before="120" w:line="240" w:lineRule="atLeast"/>
        <w:ind w:left="896" w:hanging="357"/>
        <w:jc w:val="both"/>
      </w:pPr>
      <w:r>
        <w:t xml:space="preserve">the compliance cost to industry is likely to be very low as safety devices and information on safe installation are already </w:t>
      </w:r>
      <w:r w:rsidR="00486A55">
        <w:t xml:space="preserve">available and </w:t>
      </w:r>
      <w:r>
        <w:t xml:space="preserve">advice to the ACCC is that safe </w:t>
      </w:r>
      <w:r w:rsidR="00486A55">
        <w:t xml:space="preserve">installation advice is </w:t>
      </w:r>
      <w:r w:rsidR="002F5E30">
        <w:t xml:space="preserve">substantially </w:t>
      </w:r>
      <w:r w:rsidR="00486A55">
        <w:t>being followed.</w:t>
      </w:r>
    </w:p>
    <w:p w:rsidR="00900822" w:rsidRPr="005A6AF7" w:rsidRDefault="00900822" w:rsidP="000843D6">
      <w:pPr>
        <w:spacing w:before="120" w:line="240" w:lineRule="atLeast"/>
        <w:jc w:val="both"/>
      </w:pPr>
      <w:r w:rsidRPr="005A6AF7">
        <w:t xml:space="preserve">A </w:t>
      </w:r>
      <w:r w:rsidR="00F04618">
        <w:t>services</w:t>
      </w:r>
      <w:r w:rsidRPr="005A6AF7">
        <w:t xml:space="preserve"> standard would </w:t>
      </w:r>
      <w:r w:rsidR="00351FF3">
        <w:t>enable</w:t>
      </w:r>
      <w:r w:rsidRPr="005A6AF7">
        <w:t xml:space="preserve"> regulator</w:t>
      </w:r>
      <w:r w:rsidR="00D7355C">
        <w:t>s</w:t>
      </w:r>
      <w:r w:rsidRPr="005A6AF7">
        <w:t xml:space="preserve"> to take action where installations are hazardous and non-compliant with the </w:t>
      </w:r>
      <w:r w:rsidR="00F04618">
        <w:t>services</w:t>
      </w:r>
      <w:r w:rsidRPr="005A6AF7">
        <w:t xml:space="preserve"> standard</w:t>
      </w:r>
      <w:r w:rsidR="0014741D">
        <w:t>.</w:t>
      </w:r>
    </w:p>
    <w:p w:rsidR="00DB32DE" w:rsidRPr="007C4367" w:rsidRDefault="0050018C" w:rsidP="007C4367">
      <w:pPr>
        <w:pStyle w:val="Heading1"/>
      </w:pPr>
      <w:bookmarkStart w:id="5" w:name="_Toc360026199"/>
      <w:r w:rsidRPr="007C4367">
        <w:t xml:space="preserve">Feedback received </w:t>
      </w:r>
      <w:r w:rsidR="00BA616A">
        <w:t xml:space="preserve">and changes to </w:t>
      </w:r>
      <w:r w:rsidR="00684EB6">
        <w:t>proposed standard</w:t>
      </w:r>
      <w:bookmarkEnd w:id="5"/>
    </w:p>
    <w:p w:rsidR="000855A1" w:rsidRDefault="004839BA" w:rsidP="00DA44A4">
      <w:r>
        <w:t xml:space="preserve">Fourteen </w:t>
      </w:r>
      <w:r w:rsidR="000E2238">
        <w:t xml:space="preserve">submissions </w:t>
      </w:r>
      <w:r>
        <w:t xml:space="preserve">were received in response to the </w:t>
      </w:r>
      <w:r w:rsidR="00570786">
        <w:t>initial d</w:t>
      </w:r>
      <w:r>
        <w:t xml:space="preserve">iscussion </w:t>
      </w:r>
      <w:r w:rsidR="00570786">
        <w:t>p</w:t>
      </w:r>
      <w:r>
        <w:t>aper</w:t>
      </w:r>
      <w:r w:rsidR="00684EB6">
        <w:t xml:space="preserve"> in October 2011</w:t>
      </w:r>
      <w:r>
        <w:t xml:space="preserve">. </w:t>
      </w:r>
      <w:r w:rsidR="00450AED">
        <w:t xml:space="preserve">Most were </w:t>
      </w:r>
      <w:r>
        <w:t>from industry groups or individual companies</w:t>
      </w:r>
      <w:r w:rsidR="00450AED">
        <w:t xml:space="preserve"> and t</w:t>
      </w:r>
      <w:r>
        <w:t xml:space="preserve">wo </w:t>
      </w:r>
      <w:r w:rsidR="00570786">
        <w:t>w</w:t>
      </w:r>
      <w:r>
        <w:t xml:space="preserve">ere from </w:t>
      </w:r>
      <w:r w:rsidR="00C73877">
        <w:t>community</w:t>
      </w:r>
      <w:r>
        <w:t xml:space="preserve"> groups. </w:t>
      </w:r>
    </w:p>
    <w:p w:rsidR="008C2D1E" w:rsidRDefault="008C2D1E" w:rsidP="008C2D1E">
      <w:pPr>
        <w:ind w:left="360"/>
      </w:pPr>
    </w:p>
    <w:p w:rsidR="00DB32DE" w:rsidRDefault="005B5781" w:rsidP="00DA44A4">
      <w:r>
        <w:t>T</w:t>
      </w:r>
      <w:r w:rsidR="00CF7446">
        <w:t xml:space="preserve">he ACCC received </w:t>
      </w:r>
      <w:r w:rsidR="0050018C">
        <w:t xml:space="preserve">further </w:t>
      </w:r>
      <w:r>
        <w:t xml:space="preserve">comment and </w:t>
      </w:r>
      <w:r w:rsidR="00CF7446">
        <w:t xml:space="preserve">feedback </w:t>
      </w:r>
      <w:r>
        <w:t>from</w:t>
      </w:r>
      <w:r w:rsidR="00CF7446">
        <w:t xml:space="preserve"> </w:t>
      </w:r>
      <w:r w:rsidR="004839BA">
        <w:t xml:space="preserve">discussion </w:t>
      </w:r>
      <w:r w:rsidR="00CF7446">
        <w:t xml:space="preserve">with suppliers </w:t>
      </w:r>
      <w:r w:rsidR="004839BA">
        <w:t>at a</w:t>
      </w:r>
      <w:r w:rsidR="00103637">
        <w:t xml:space="preserve"> Blind Manufactu</w:t>
      </w:r>
      <w:r w:rsidR="00450AED">
        <w:t>r</w:t>
      </w:r>
      <w:r w:rsidR="00103637">
        <w:t xml:space="preserve">ers Association </w:t>
      </w:r>
      <w:r w:rsidR="004839BA">
        <w:t xml:space="preserve">industry forum, </w:t>
      </w:r>
      <w:r w:rsidR="00CF7446">
        <w:t>as well as</w:t>
      </w:r>
      <w:r>
        <w:t xml:space="preserve"> </w:t>
      </w:r>
      <w:r w:rsidR="00137EDE">
        <w:t>from</w:t>
      </w:r>
      <w:r w:rsidR="00CF7446">
        <w:t xml:space="preserve"> </w:t>
      </w:r>
      <w:r w:rsidR="004839BA">
        <w:t xml:space="preserve">discussions </w:t>
      </w:r>
      <w:r w:rsidR="00137EDE">
        <w:t xml:space="preserve">with individual stakeholders since October 2011. </w:t>
      </w:r>
    </w:p>
    <w:p w:rsidR="008C2D1E" w:rsidRDefault="008C2D1E" w:rsidP="008C2D1E">
      <w:pPr>
        <w:pStyle w:val="ListParagraph"/>
      </w:pPr>
    </w:p>
    <w:p w:rsidR="00FB0214" w:rsidRDefault="00CF7446" w:rsidP="00DA44A4">
      <w:r>
        <w:t>F</w:t>
      </w:r>
      <w:r w:rsidR="000855A1">
        <w:t>eedback provided to the ACCC, and the ACCC’s response,</w:t>
      </w:r>
      <w:r w:rsidR="0042342B">
        <w:t xml:space="preserve"> has been grouped into </w:t>
      </w:r>
      <w:r w:rsidR="006A5E25">
        <w:t xml:space="preserve">five </w:t>
      </w:r>
      <w:r w:rsidR="0042342B">
        <w:t>key areas</w:t>
      </w:r>
      <w:r w:rsidR="005C5178">
        <w:t>.</w:t>
      </w:r>
      <w:r w:rsidR="004839BA">
        <w:t xml:space="preserve"> </w:t>
      </w:r>
    </w:p>
    <w:p w:rsidR="00B53F19" w:rsidRDefault="00B53F19" w:rsidP="001F6CB2">
      <w:pPr>
        <w:pStyle w:val="Heading3"/>
        <w:numPr>
          <w:ilvl w:val="0"/>
          <w:numId w:val="12"/>
        </w:numPr>
      </w:pPr>
      <w:bookmarkStart w:id="6" w:name="_Toc360026200"/>
      <w:r>
        <w:t>General support for a services standard</w:t>
      </w:r>
      <w:bookmarkEnd w:id="6"/>
      <w:r>
        <w:t xml:space="preserve"> </w:t>
      </w:r>
    </w:p>
    <w:p w:rsidR="00DA44A4" w:rsidRDefault="00DA44A4" w:rsidP="00DA44A4"/>
    <w:p w:rsidR="00B53F19" w:rsidRDefault="00B53F19" w:rsidP="00DA44A4">
      <w:r>
        <w:t>Community advocacy groups supported the proposals as necessary to improve safety.</w:t>
      </w:r>
    </w:p>
    <w:p w:rsidR="00B53F19" w:rsidRDefault="00B53F19" w:rsidP="00B53F19">
      <w:pPr>
        <w:ind w:left="851"/>
      </w:pPr>
    </w:p>
    <w:p w:rsidR="00B53F19" w:rsidRDefault="00B53F19" w:rsidP="00DA44A4">
      <w:r>
        <w:t>One submission</w:t>
      </w:r>
      <w:r w:rsidR="00137EDE">
        <w:t xml:space="preserve"> in response </w:t>
      </w:r>
      <w:r>
        <w:t xml:space="preserve">to the October 2011 consultation, and much of the subsequent discussion with industry, suppliers and consumer groups, </w:t>
      </w:r>
      <w:r w:rsidR="00EC1155">
        <w:t>commented</w:t>
      </w:r>
      <w:r>
        <w:t xml:space="preserve"> that any regulation needs to be strongly supported by education and compliance campaigns to be effective.</w:t>
      </w:r>
    </w:p>
    <w:p w:rsidR="00B53F19" w:rsidRDefault="00B53F19" w:rsidP="00B53F19">
      <w:pPr>
        <w:ind w:left="851"/>
      </w:pPr>
    </w:p>
    <w:p w:rsidR="002C28E3" w:rsidRDefault="00B53F19" w:rsidP="00DA44A4">
      <w:r>
        <w:t>The ACCC will continue to educate parents and carers about the hazards associated with CIWC and loose or looped cords—</w:t>
      </w:r>
      <w:r w:rsidR="002C28E3">
        <w:t xml:space="preserve"> </w:t>
      </w:r>
      <w:r w:rsidR="00204B6E">
        <w:t xml:space="preserve">including by </w:t>
      </w:r>
      <w:r w:rsidR="002C28E3">
        <w:t xml:space="preserve">continuing </w:t>
      </w:r>
      <w:r>
        <w:t xml:space="preserve">proactive distribution of the </w:t>
      </w:r>
      <w:r w:rsidR="002C28E3">
        <w:t xml:space="preserve">education material such as the </w:t>
      </w:r>
      <w:r>
        <w:t xml:space="preserve">ACCC’s “Loose curtain and blind cords can kill” publication. </w:t>
      </w:r>
    </w:p>
    <w:p w:rsidR="00DA44A4" w:rsidRDefault="00DA44A4" w:rsidP="00DA44A4"/>
    <w:p w:rsidR="00B53F19" w:rsidRPr="005B6CF7" w:rsidRDefault="00B53F19" w:rsidP="00DA44A4">
      <w:r>
        <w:t xml:space="preserve">If a services standard is adopted, the ACCC will develop and implement </w:t>
      </w:r>
      <w:r w:rsidR="00204B6E">
        <w:t>compliance education</w:t>
      </w:r>
      <w:r>
        <w:t xml:space="preserve"> activities for installers and the CIWC industry more broadly.</w:t>
      </w:r>
    </w:p>
    <w:p w:rsidR="0078799C" w:rsidRDefault="001F6CB2" w:rsidP="001F6CB2">
      <w:pPr>
        <w:pStyle w:val="Heading3"/>
        <w:numPr>
          <w:ilvl w:val="0"/>
          <w:numId w:val="12"/>
        </w:numPr>
      </w:pPr>
      <w:bookmarkStart w:id="7" w:name="_Toc360026201"/>
      <w:r>
        <w:t>R</w:t>
      </w:r>
      <w:r w:rsidR="0078799C">
        <w:t>equest</w:t>
      </w:r>
      <w:r>
        <w:t>s</w:t>
      </w:r>
      <w:r w:rsidR="0078799C">
        <w:t xml:space="preserve"> to clarify aspects of the proposed regulation</w:t>
      </w:r>
      <w:bookmarkEnd w:id="7"/>
    </w:p>
    <w:p w:rsidR="0078799C" w:rsidRPr="0078799C" w:rsidRDefault="0078799C" w:rsidP="0078799C">
      <w:pPr>
        <w:rPr>
          <w:lang w:val="en-GB"/>
        </w:rPr>
      </w:pPr>
    </w:p>
    <w:p w:rsidR="005C5178" w:rsidRDefault="002C28E3" w:rsidP="00DA44A4">
      <w:r>
        <w:t xml:space="preserve">Most industry stakeholder responses </w:t>
      </w:r>
      <w:r w:rsidR="001F6CB2">
        <w:t xml:space="preserve">did not comment on the concept of </w:t>
      </w:r>
      <w:r w:rsidR="0078799C">
        <w:t>the proposed services standard</w:t>
      </w:r>
      <w:r w:rsidR="001F6CB2">
        <w:t>.</w:t>
      </w:r>
    </w:p>
    <w:p w:rsidR="00976CB5" w:rsidRDefault="00976CB5" w:rsidP="00DA44A4"/>
    <w:p w:rsidR="0078799C" w:rsidRPr="0001727A" w:rsidRDefault="0078799C" w:rsidP="00DA44A4">
      <w:r>
        <w:t>Specific feedback on requirements of the proposed standard was provided and/or suppliers asked the ACCC to clarify some of the detail of the proposal</w:t>
      </w:r>
      <w:r w:rsidR="0001727A">
        <w:t>. This</w:t>
      </w:r>
      <w:r w:rsidR="000546B4">
        <w:t xml:space="preserve"> feedback</w:t>
      </w:r>
      <w:r w:rsidR="0001727A">
        <w:t xml:space="preserve"> included </w:t>
      </w:r>
      <w:r w:rsidR="000546B4">
        <w:t>comments on</w:t>
      </w:r>
      <w:r w:rsidR="0001727A">
        <w:t xml:space="preserve"> the scope, labelling and performance requirements, the documentation that installers would be </w:t>
      </w:r>
      <w:r w:rsidR="0001727A" w:rsidRPr="0001727A">
        <w:t>required to keep, and the issue of consumers cutting warning labels off CIWC</w:t>
      </w:r>
      <w:r w:rsidR="005C5178">
        <w:t xml:space="preserve">. </w:t>
      </w:r>
      <w:r w:rsidR="000546B4">
        <w:t>These c</w:t>
      </w:r>
      <w:r w:rsidR="005C5178">
        <w:t>omments are grouped by subject</w:t>
      </w:r>
      <w:r w:rsidR="0001727A" w:rsidRPr="0001727A">
        <w:t>:</w:t>
      </w:r>
    </w:p>
    <w:p w:rsidR="0078799C" w:rsidRPr="0001727A" w:rsidRDefault="0078799C" w:rsidP="0078799C">
      <w:pPr>
        <w:ind w:left="851"/>
      </w:pPr>
    </w:p>
    <w:p w:rsidR="0078799C" w:rsidRPr="00427DC9" w:rsidRDefault="00DA44A4" w:rsidP="00DA44A4">
      <w:pPr>
        <w:numPr>
          <w:ilvl w:val="0"/>
          <w:numId w:val="4"/>
        </w:numPr>
        <w:tabs>
          <w:tab w:val="clear" w:pos="720"/>
          <w:tab w:val="num" w:pos="900"/>
        </w:tabs>
        <w:spacing w:before="120" w:line="240" w:lineRule="atLeast"/>
        <w:ind w:left="896" w:hanging="357"/>
        <w:jc w:val="both"/>
      </w:pPr>
      <w:r>
        <w:t>Scope</w:t>
      </w:r>
    </w:p>
    <w:p w:rsidR="0078799C" w:rsidRPr="0001727A" w:rsidRDefault="0078799C" w:rsidP="0078799C">
      <w:pPr>
        <w:ind w:left="851"/>
      </w:pPr>
    </w:p>
    <w:p w:rsidR="0078799C" w:rsidRPr="0001727A" w:rsidRDefault="0078799C" w:rsidP="0001727A">
      <w:pPr>
        <w:ind w:left="851"/>
      </w:pPr>
      <w:r w:rsidRPr="0001727A">
        <w:t xml:space="preserve">A number of submissions </w:t>
      </w:r>
      <w:r w:rsidR="00EC1155">
        <w:t>sought</w:t>
      </w:r>
      <w:r w:rsidR="002A52D1">
        <w:t xml:space="preserve"> </w:t>
      </w:r>
      <w:r w:rsidRPr="0001727A">
        <w:t>exemption for places where children do not normally go or where they are</w:t>
      </w:r>
      <w:r w:rsidR="005826F9">
        <w:t xml:space="preserve"> </w:t>
      </w:r>
      <w:r w:rsidRPr="0001727A">
        <w:t>under supervision</w:t>
      </w:r>
      <w:r w:rsidR="0001727A" w:rsidRPr="0001727A">
        <w:t>—such as commercial buildings</w:t>
      </w:r>
      <w:r w:rsidR="002C28E3">
        <w:t xml:space="preserve"> – o</w:t>
      </w:r>
      <w:r w:rsidR="002B5829">
        <w:t>n</w:t>
      </w:r>
      <w:r w:rsidR="002C28E3">
        <w:t xml:space="preserve"> the basis of reduced risk</w:t>
      </w:r>
      <w:r w:rsidR="005826F9">
        <w:t xml:space="preserve"> in these environments</w:t>
      </w:r>
      <w:r w:rsidRPr="0001727A">
        <w:t>.</w:t>
      </w:r>
      <w:r w:rsidR="0001727A" w:rsidRPr="0001727A">
        <w:t xml:space="preserve"> In direct contrast to this, one submission </w:t>
      </w:r>
      <w:r w:rsidR="00EC1155">
        <w:t>considered</w:t>
      </w:r>
      <w:r w:rsidR="0001727A" w:rsidRPr="0001727A">
        <w:t xml:space="preserve"> that </w:t>
      </w:r>
      <w:r w:rsidRPr="0001727A">
        <w:t xml:space="preserve">the </w:t>
      </w:r>
      <w:r w:rsidR="0001727A" w:rsidRPr="0001727A">
        <w:t xml:space="preserve">requirements </w:t>
      </w:r>
      <w:r w:rsidRPr="0001727A">
        <w:t xml:space="preserve">should apply </w:t>
      </w:r>
      <w:r w:rsidR="0001727A" w:rsidRPr="0001727A">
        <w:t xml:space="preserve">regardless of location, </w:t>
      </w:r>
      <w:r w:rsidRPr="0001727A">
        <w:t xml:space="preserve">as children can be anywhere. </w:t>
      </w:r>
    </w:p>
    <w:p w:rsidR="0078799C" w:rsidRPr="0001727A" w:rsidRDefault="0078799C" w:rsidP="0078799C">
      <w:pPr>
        <w:ind w:left="851"/>
      </w:pPr>
    </w:p>
    <w:p w:rsidR="0078799C" w:rsidRPr="0001727A" w:rsidRDefault="0078799C" w:rsidP="0078799C">
      <w:pPr>
        <w:ind w:left="851"/>
      </w:pPr>
      <w:r w:rsidRPr="0001727A">
        <w:t xml:space="preserve">One submission asked whether CIWC in caravans would be </w:t>
      </w:r>
      <w:r w:rsidR="0001727A" w:rsidRPr="0001727A">
        <w:t>captured by the proposed regulation.</w:t>
      </w:r>
    </w:p>
    <w:p w:rsidR="0001727A" w:rsidRPr="0001727A" w:rsidRDefault="0001727A" w:rsidP="0078799C">
      <w:pPr>
        <w:ind w:left="851"/>
      </w:pPr>
    </w:p>
    <w:p w:rsidR="002A52D1" w:rsidRDefault="0001727A" w:rsidP="005826F9">
      <w:pPr>
        <w:ind w:left="851"/>
      </w:pPr>
      <w:r w:rsidRPr="0001727A">
        <w:t xml:space="preserve">The </w:t>
      </w:r>
      <w:r w:rsidR="000546B4">
        <w:t xml:space="preserve">ACCC reviewed the </w:t>
      </w:r>
      <w:r w:rsidR="002B5829">
        <w:t xml:space="preserve">scope of the proposal in light of the comments received and analysis of the location of child strangulation deaths. </w:t>
      </w:r>
    </w:p>
    <w:p w:rsidR="002B5829" w:rsidRDefault="002B5829">
      <w:pPr>
        <w:ind w:left="851"/>
      </w:pPr>
      <w:r>
        <w:t xml:space="preserve">No deaths </w:t>
      </w:r>
      <w:r w:rsidR="005826F9">
        <w:t xml:space="preserve">outside of domestic settings were </w:t>
      </w:r>
      <w:r>
        <w:t xml:space="preserve">identified. </w:t>
      </w:r>
    </w:p>
    <w:p w:rsidR="00D71A56" w:rsidRPr="00D71A56" w:rsidRDefault="00D71A56" w:rsidP="00A61A63">
      <w:pPr>
        <w:ind w:left="720"/>
      </w:pPr>
      <w:r w:rsidRPr="00D71A56">
        <w:t>The ACCC proposes that boats caravans and mobile homes be excluded from the scope of the proposed standard on the grounds that the CIWC in these locations do not fit the risk profile.  Windows are smaller and do not have long, thin cords capable of wrapping around a child’s neck. No incidents have been identified as occurring in these locations.</w:t>
      </w:r>
    </w:p>
    <w:p w:rsidR="0078799C" w:rsidRPr="00427DC9" w:rsidRDefault="0078799C" w:rsidP="0078799C"/>
    <w:p w:rsidR="0078799C" w:rsidRPr="00427DC9" w:rsidRDefault="00DA44A4" w:rsidP="00DA44A4">
      <w:pPr>
        <w:numPr>
          <w:ilvl w:val="0"/>
          <w:numId w:val="4"/>
        </w:numPr>
        <w:tabs>
          <w:tab w:val="clear" w:pos="720"/>
          <w:tab w:val="num" w:pos="900"/>
        </w:tabs>
        <w:spacing w:before="120" w:line="240" w:lineRule="atLeast"/>
        <w:ind w:left="896" w:hanging="357"/>
        <w:jc w:val="both"/>
      </w:pPr>
      <w:r>
        <w:t>Instructions/performance</w:t>
      </w:r>
      <w:r w:rsidR="0078799C" w:rsidRPr="00427DC9">
        <w:t xml:space="preserve"> </w:t>
      </w:r>
    </w:p>
    <w:p w:rsidR="0078799C" w:rsidRPr="00427DC9" w:rsidRDefault="0078799C" w:rsidP="0078799C">
      <w:pPr>
        <w:ind w:left="851"/>
        <w:rPr>
          <w:u w:val="single"/>
        </w:rPr>
      </w:pPr>
    </w:p>
    <w:p w:rsidR="0078799C" w:rsidRPr="00427DC9" w:rsidRDefault="000546B4" w:rsidP="0078799C">
      <w:pPr>
        <w:ind w:left="851"/>
      </w:pPr>
      <w:r>
        <w:t>Provisions</w:t>
      </w:r>
      <w:r w:rsidR="00A046CF">
        <w:t xml:space="preserve"> that</w:t>
      </w:r>
      <w:r>
        <w:t xml:space="preserve"> </w:t>
      </w:r>
      <w:r w:rsidR="0078799C" w:rsidRPr="00427DC9">
        <w:t xml:space="preserve">the </w:t>
      </w:r>
      <w:r w:rsidR="00427DC9" w:rsidRPr="00427DC9">
        <w:t>services standard</w:t>
      </w:r>
      <w:r w:rsidR="0078799C" w:rsidRPr="00427DC9">
        <w:t xml:space="preserve"> specify the performance requirements set out in the supply standard</w:t>
      </w:r>
      <w:r w:rsidR="00E02EAA">
        <w:t xml:space="preserve"> and that installers follow installation /safety instructions supplied with </w:t>
      </w:r>
      <w:proofErr w:type="gramStart"/>
      <w:r w:rsidR="00E02EAA">
        <w:t>CIWC</w:t>
      </w:r>
      <w:r w:rsidR="00427DC9" w:rsidRPr="00427DC9">
        <w:t>,</w:t>
      </w:r>
      <w:proofErr w:type="gramEnd"/>
      <w:r w:rsidR="0078799C" w:rsidRPr="00427DC9">
        <w:t xml:space="preserve"> were supported by </w:t>
      </w:r>
      <w:r w:rsidR="00427DC9" w:rsidRPr="00427DC9">
        <w:t>all</w:t>
      </w:r>
      <w:r w:rsidR="0078799C" w:rsidRPr="00427DC9">
        <w:t xml:space="preserve"> submissions that commented on this issue. </w:t>
      </w:r>
    </w:p>
    <w:p w:rsidR="0078799C" w:rsidRPr="00427DC9" w:rsidRDefault="0078799C" w:rsidP="0078799C">
      <w:pPr>
        <w:ind w:left="851"/>
      </w:pPr>
    </w:p>
    <w:p w:rsidR="009E1A88" w:rsidRDefault="0071531D" w:rsidP="009E1A88">
      <w:pPr>
        <w:ind w:left="851"/>
      </w:pPr>
      <w:r>
        <w:t>T</w:t>
      </w:r>
      <w:r w:rsidR="009E1A88" w:rsidRPr="00427DC9">
        <w:t xml:space="preserve">wo submissions </w:t>
      </w:r>
      <w:r>
        <w:t>noted</w:t>
      </w:r>
      <w:r w:rsidR="009E1A88" w:rsidRPr="00427DC9">
        <w:t xml:space="preserve"> difficulties associated with determining non-compliance over time, </w:t>
      </w:r>
      <w:r w:rsidR="00902334">
        <w:t xml:space="preserve">including </w:t>
      </w:r>
      <w:r w:rsidR="009E1A88" w:rsidRPr="00427DC9">
        <w:t xml:space="preserve">the effect of wear and tear, </w:t>
      </w:r>
      <w:r>
        <w:t>the potential for</w:t>
      </w:r>
      <w:r w:rsidR="00902334">
        <w:t xml:space="preserve"> a</w:t>
      </w:r>
      <w:r>
        <w:t xml:space="preserve"> </w:t>
      </w:r>
      <w:r w:rsidR="009E1A88" w:rsidRPr="00427DC9">
        <w:t xml:space="preserve">consumer </w:t>
      </w:r>
      <w:r>
        <w:t>to adjust or alter</w:t>
      </w:r>
      <w:r w:rsidR="009E1A88" w:rsidRPr="00427DC9">
        <w:t xml:space="preserve"> </w:t>
      </w:r>
      <w:r w:rsidR="00902334">
        <w:t xml:space="preserve">the </w:t>
      </w:r>
      <w:r w:rsidR="009E1A88" w:rsidRPr="00427DC9">
        <w:t>installation,</w:t>
      </w:r>
      <w:r>
        <w:t xml:space="preserve"> and the possible effect of</w:t>
      </w:r>
      <w:r w:rsidR="009E1A88" w:rsidRPr="00427DC9">
        <w:t xml:space="preserve"> maintenance</w:t>
      </w:r>
      <w:r>
        <w:t>,</w:t>
      </w:r>
      <w:r w:rsidR="009E1A88" w:rsidRPr="00427DC9">
        <w:t xml:space="preserve"> cleaning and re-installation</w:t>
      </w:r>
      <w:r w:rsidR="00902334">
        <w:t xml:space="preserve"> on the </w:t>
      </w:r>
      <w:r w:rsidR="00E02EAA">
        <w:t xml:space="preserve">safety of the </w:t>
      </w:r>
      <w:r w:rsidR="00902334">
        <w:t>initial installation</w:t>
      </w:r>
      <w:r w:rsidR="009E1A88" w:rsidRPr="00427DC9">
        <w:t xml:space="preserve">. </w:t>
      </w:r>
    </w:p>
    <w:p w:rsidR="009E1A88" w:rsidRPr="00427DC9" w:rsidRDefault="009E1A88" w:rsidP="009E1A88">
      <w:pPr>
        <w:ind w:left="851"/>
      </w:pPr>
    </w:p>
    <w:p w:rsidR="009E1A88" w:rsidRDefault="00E02EAA" w:rsidP="009E1A88">
      <w:pPr>
        <w:ind w:left="851"/>
      </w:pPr>
      <w:r>
        <w:t>Concern was expressed</w:t>
      </w:r>
      <w:r w:rsidR="0071531D">
        <w:t xml:space="preserve"> </w:t>
      </w:r>
      <w:r w:rsidR="00902334">
        <w:t xml:space="preserve">about </w:t>
      </w:r>
      <w:r w:rsidR="009E1A88" w:rsidRPr="00427DC9">
        <w:t>consumers removing safety devices</w:t>
      </w:r>
      <w:r w:rsidR="0071531D">
        <w:t xml:space="preserve"> after installation</w:t>
      </w:r>
      <w:r w:rsidR="009E1A88" w:rsidRPr="00427DC9">
        <w:t xml:space="preserve"> and/or refusing the installation of safety devices such as cleats</w:t>
      </w:r>
      <w:r w:rsidR="0071531D">
        <w:t xml:space="preserve"> at the time of installation</w:t>
      </w:r>
      <w:r w:rsidR="009E1A88" w:rsidRPr="00427DC9">
        <w:t>.</w:t>
      </w:r>
      <w:r w:rsidR="0071531D">
        <w:t xml:space="preserve"> Clarification on the treatment of these matters was requested.</w:t>
      </w:r>
    </w:p>
    <w:p w:rsidR="00C045B0" w:rsidRDefault="00C045B0" w:rsidP="009E1A88">
      <w:pPr>
        <w:ind w:left="851"/>
      </w:pPr>
    </w:p>
    <w:p w:rsidR="00C045B0" w:rsidRDefault="0071531D" w:rsidP="009E1A88">
      <w:pPr>
        <w:ind w:left="851"/>
      </w:pPr>
      <w:r>
        <w:t xml:space="preserve">One submission requested practical guidance or development of a test method for determining whether a safety device meets the 70 Newtons force-in-any-direction requirement </w:t>
      </w:r>
      <w:r w:rsidR="00E02EAA">
        <w:t xml:space="preserve">when </w:t>
      </w:r>
      <w:r>
        <w:t>it is installed.</w:t>
      </w:r>
    </w:p>
    <w:p w:rsidR="009E1A88" w:rsidRDefault="009E1A88" w:rsidP="009E1A88">
      <w:pPr>
        <w:ind w:left="851"/>
      </w:pPr>
    </w:p>
    <w:p w:rsidR="00427DC9" w:rsidRDefault="00427DC9" w:rsidP="0078799C">
      <w:pPr>
        <w:ind w:left="851"/>
      </w:pPr>
      <w:r w:rsidRPr="00471F20">
        <w:t xml:space="preserve">In response to feedback about consumer behaviour, the ACCC </w:t>
      </w:r>
      <w:r w:rsidR="00217E02">
        <w:t>proposes to</w:t>
      </w:r>
      <w:r w:rsidRPr="00471F20">
        <w:t xml:space="preserve"> include messages about</w:t>
      </w:r>
      <w:r>
        <w:t xml:space="preserve"> retaining warning information / swing tags with CIWC in consumer education campaign</w:t>
      </w:r>
      <w:r w:rsidR="00902334">
        <w:t xml:space="preserve">s on the subject. The ACCC also proposes </w:t>
      </w:r>
      <w:r w:rsidR="00217E02">
        <w:t>to work with industry on the development of messages to consumers concerning the necessity of installing safety devices and the requirements of the service</w:t>
      </w:r>
      <w:r w:rsidR="00F04618">
        <w:t>s</w:t>
      </w:r>
      <w:r w:rsidR="00217E02">
        <w:t xml:space="preserve"> standard</w:t>
      </w:r>
      <w:r>
        <w:t>.</w:t>
      </w:r>
      <w:r w:rsidRPr="00427DC9">
        <w:t xml:space="preserve"> </w:t>
      </w:r>
      <w:r w:rsidR="00A046CF">
        <w:t>This work will include information on the 70 Newtons test.</w:t>
      </w:r>
    </w:p>
    <w:p w:rsidR="00427DC9" w:rsidRDefault="00427DC9" w:rsidP="0078799C">
      <w:pPr>
        <w:ind w:left="851"/>
      </w:pPr>
    </w:p>
    <w:p w:rsidR="00710B21" w:rsidRDefault="00217E02" w:rsidP="0078799C">
      <w:pPr>
        <w:ind w:left="851"/>
      </w:pPr>
      <w:r>
        <w:t xml:space="preserve">If the </w:t>
      </w:r>
      <w:r w:rsidR="00F04618">
        <w:t>services</w:t>
      </w:r>
      <w:r>
        <w:t xml:space="preserve"> standard outlined in this paper is adopted then installation (by someone in trade or commerce) of a CIWC without the safety devices required to prevent the formation of dangerous loops or lengths would be a breach of the law. </w:t>
      </w:r>
    </w:p>
    <w:p w:rsidR="00710B21" w:rsidRDefault="00710B21" w:rsidP="0078799C">
      <w:pPr>
        <w:ind w:left="851"/>
      </w:pPr>
    </w:p>
    <w:p w:rsidR="0078799C" w:rsidRPr="00FD2483" w:rsidRDefault="00427DC9" w:rsidP="0078799C">
      <w:pPr>
        <w:ind w:left="851"/>
      </w:pPr>
      <w:r w:rsidRPr="00427DC9">
        <w:t>An installer w</w:t>
      </w:r>
      <w:r w:rsidR="00217E02">
        <w:t>ould not</w:t>
      </w:r>
      <w:r w:rsidRPr="00427DC9">
        <w:t xml:space="preserve"> be held responsible if a consumer </w:t>
      </w:r>
      <w:r w:rsidR="00217E02">
        <w:t>subsequently alters the installation, such as by cutting off</w:t>
      </w:r>
      <w:r w:rsidRPr="00427DC9">
        <w:t xml:space="preserve"> a warning label or swing tag </w:t>
      </w:r>
      <w:r w:rsidR="00217E02">
        <w:t>or removing a safety device.</w:t>
      </w:r>
    </w:p>
    <w:p w:rsidR="0078799C" w:rsidRPr="00FD2483" w:rsidRDefault="0078799C" w:rsidP="0078799C">
      <w:pPr>
        <w:rPr>
          <w:u w:val="single"/>
        </w:rPr>
      </w:pPr>
    </w:p>
    <w:p w:rsidR="0078799C" w:rsidRPr="00FD2483" w:rsidRDefault="0078799C" w:rsidP="00DA44A4">
      <w:pPr>
        <w:numPr>
          <w:ilvl w:val="0"/>
          <w:numId w:val="4"/>
        </w:numPr>
        <w:tabs>
          <w:tab w:val="clear" w:pos="720"/>
          <w:tab w:val="num" w:pos="900"/>
        </w:tabs>
        <w:spacing w:before="120" w:line="240" w:lineRule="atLeast"/>
        <w:ind w:left="896" w:hanging="357"/>
        <w:jc w:val="both"/>
      </w:pPr>
      <w:r w:rsidRPr="00FD2483">
        <w:t>Documentation</w:t>
      </w:r>
    </w:p>
    <w:p w:rsidR="0078799C" w:rsidRPr="00FD2483" w:rsidRDefault="0078799C" w:rsidP="0078799C">
      <w:pPr>
        <w:ind w:left="851"/>
      </w:pPr>
    </w:p>
    <w:p w:rsidR="0078799C" w:rsidRPr="00FD2483" w:rsidRDefault="00FD2483" w:rsidP="0078799C">
      <w:pPr>
        <w:ind w:left="851"/>
      </w:pPr>
      <w:r w:rsidRPr="00FD2483">
        <w:t xml:space="preserve">The </w:t>
      </w:r>
      <w:r w:rsidR="00E02EAA">
        <w:t xml:space="preserve">2011 </w:t>
      </w:r>
      <w:r w:rsidR="00217E02">
        <w:t xml:space="preserve">discussion paper requested </w:t>
      </w:r>
      <w:r w:rsidR="00E02EAA">
        <w:t>comment</w:t>
      </w:r>
      <w:r w:rsidR="00217E02">
        <w:t xml:space="preserve"> on possible requirements </w:t>
      </w:r>
      <w:r w:rsidRPr="00FD2483">
        <w:t xml:space="preserve">to </w:t>
      </w:r>
      <w:r w:rsidR="0078799C" w:rsidRPr="00FD2483">
        <w:t xml:space="preserve">fix contact details to the </w:t>
      </w:r>
      <w:r w:rsidR="00C045B0" w:rsidRPr="00FD2483">
        <w:t>CIWC</w:t>
      </w:r>
      <w:r w:rsidR="0078799C" w:rsidRPr="00FD2483">
        <w:t>, supply a document to the consumer affirming correct installation</w:t>
      </w:r>
      <w:r w:rsidRPr="00FD2483">
        <w:t>,</w:t>
      </w:r>
      <w:r w:rsidR="0078799C" w:rsidRPr="00FD2483">
        <w:t xml:space="preserve"> and </w:t>
      </w:r>
      <w:r w:rsidRPr="00FD2483">
        <w:t>keep records of installation.</w:t>
      </w:r>
    </w:p>
    <w:p w:rsidR="0078799C" w:rsidRPr="00FD2483" w:rsidRDefault="0078799C" w:rsidP="0078799C">
      <w:pPr>
        <w:ind w:left="851"/>
      </w:pPr>
    </w:p>
    <w:p w:rsidR="00FD2483" w:rsidRPr="00FD2483" w:rsidRDefault="00A046CF" w:rsidP="0078799C">
      <w:pPr>
        <w:ind w:left="851"/>
      </w:pPr>
      <w:r>
        <w:t xml:space="preserve">A community group submission argued </w:t>
      </w:r>
      <w:r w:rsidR="0078799C" w:rsidRPr="00FD2483">
        <w:t>that it is reasonable to require a cont</w:t>
      </w:r>
      <w:r w:rsidR="00C045B0" w:rsidRPr="00FD2483">
        <w:t xml:space="preserve">act label on installed </w:t>
      </w:r>
      <w:r w:rsidR="00710B21">
        <w:t>CIWC</w:t>
      </w:r>
      <w:r w:rsidR="00217E02">
        <w:t>. Two industry</w:t>
      </w:r>
      <w:r w:rsidR="00C045B0" w:rsidRPr="00FD2483">
        <w:t xml:space="preserve"> submissions </w:t>
      </w:r>
      <w:r w:rsidR="000546B4">
        <w:t>noted</w:t>
      </w:r>
      <w:r w:rsidR="0078799C" w:rsidRPr="00FD2483">
        <w:t xml:space="preserve"> that a focus on the </w:t>
      </w:r>
      <w:r w:rsidR="00FD2483" w:rsidRPr="00FD2483">
        <w:t xml:space="preserve">individual </w:t>
      </w:r>
      <w:r w:rsidR="0078799C" w:rsidRPr="00FD2483">
        <w:t>installer was inappropriate</w:t>
      </w:r>
      <w:r w:rsidR="004C1697">
        <w:t xml:space="preserve"> and, in</w:t>
      </w:r>
      <w:r w:rsidR="00710B21">
        <w:t xml:space="preserve"> subsequent discussions with industry,</w:t>
      </w:r>
      <w:r w:rsidR="004C1697">
        <w:t xml:space="preserve"> a number of </w:t>
      </w:r>
      <w:r w:rsidR="00710B21">
        <w:t xml:space="preserve">other </w:t>
      </w:r>
      <w:r w:rsidR="004C1697">
        <w:t xml:space="preserve">industry </w:t>
      </w:r>
      <w:r w:rsidR="00710B21">
        <w:t>stakeholders</w:t>
      </w:r>
      <w:r w:rsidR="004C1697">
        <w:t xml:space="preserve"> </w:t>
      </w:r>
      <w:r w:rsidR="000546B4">
        <w:t>did not support</w:t>
      </w:r>
      <w:r w:rsidR="004C1697">
        <w:t xml:space="preserve"> any requirement for installer contact details to be given.  It was </w:t>
      </w:r>
      <w:r w:rsidR="000546B4">
        <w:t xml:space="preserve">suggested </w:t>
      </w:r>
      <w:r w:rsidR="004C1697">
        <w:t>that high workforce turnover would render naming installers ineffective</w:t>
      </w:r>
      <w:r w:rsidR="00710B21">
        <w:t xml:space="preserve"> and would result in </w:t>
      </w:r>
      <w:r w:rsidR="004C1697">
        <w:t>installer concern</w:t>
      </w:r>
      <w:r w:rsidR="00710B21">
        <w:t>s about</w:t>
      </w:r>
      <w:r w:rsidR="004C1697">
        <w:t xml:space="preserve"> </w:t>
      </w:r>
      <w:r w:rsidR="00710B21">
        <w:t xml:space="preserve">ongoing </w:t>
      </w:r>
      <w:r w:rsidR="004C1697">
        <w:t>continuing liability</w:t>
      </w:r>
      <w:r w:rsidR="00710B21">
        <w:t xml:space="preserve">. Some industry stakeholders believed that this could </w:t>
      </w:r>
      <w:r w:rsidR="004C1697">
        <w:t xml:space="preserve">deter </w:t>
      </w:r>
      <w:r w:rsidR="00710B21">
        <w:t xml:space="preserve">new installers from entering the </w:t>
      </w:r>
      <w:r w:rsidR="004C1697">
        <w:t>industry</w:t>
      </w:r>
      <w:r w:rsidR="00C045B0" w:rsidRPr="00FD2483">
        <w:t xml:space="preserve">.  </w:t>
      </w:r>
    </w:p>
    <w:p w:rsidR="00FD2483" w:rsidRPr="00FD2483" w:rsidRDefault="00FD2483" w:rsidP="0078799C">
      <w:pPr>
        <w:ind w:left="851"/>
      </w:pPr>
    </w:p>
    <w:p w:rsidR="00FD2483" w:rsidRDefault="00FD2483" w:rsidP="0078799C">
      <w:pPr>
        <w:ind w:left="851"/>
      </w:pPr>
      <w:r w:rsidRPr="00FD2483">
        <w:t>I</w:t>
      </w:r>
      <w:r w:rsidR="00710B21">
        <w:t>t</w:t>
      </w:r>
      <w:r w:rsidRPr="00FD2483">
        <w:t xml:space="preserve"> was</w:t>
      </w:r>
      <w:r w:rsidR="00710B21">
        <w:t xml:space="preserve"> </w:t>
      </w:r>
      <w:r w:rsidR="000546B4">
        <w:t>suggested</w:t>
      </w:r>
      <w:r w:rsidR="0078799C" w:rsidRPr="00FD2483">
        <w:t xml:space="preserve"> that </w:t>
      </w:r>
      <w:r w:rsidR="004C1697">
        <w:t xml:space="preserve">requiring </w:t>
      </w:r>
      <w:r w:rsidR="0078799C" w:rsidRPr="00FD2483">
        <w:t xml:space="preserve">contact information </w:t>
      </w:r>
      <w:r w:rsidR="003336BF">
        <w:t xml:space="preserve">for the </w:t>
      </w:r>
      <w:r w:rsidR="0078799C" w:rsidRPr="00FD2483">
        <w:t>retailer or the company responsible for installation</w:t>
      </w:r>
      <w:r w:rsidR="003336BF">
        <w:t>, rather than</w:t>
      </w:r>
      <w:r w:rsidRPr="00FD2483">
        <w:t xml:space="preserve"> the individual installer</w:t>
      </w:r>
      <w:r w:rsidR="003336BF">
        <w:t xml:space="preserve"> would be both more reasonable and more effective.</w:t>
      </w:r>
    </w:p>
    <w:p w:rsidR="00BA616A" w:rsidRDefault="00BA616A" w:rsidP="0078799C">
      <w:pPr>
        <w:ind w:left="851"/>
      </w:pPr>
    </w:p>
    <w:p w:rsidR="00C045B0" w:rsidRPr="00FD2483" w:rsidRDefault="00C045B0" w:rsidP="00C045B0">
      <w:pPr>
        <w:ind w:left="851"/>
      </w:pPr>
      <w:r w:rsidRPr="00FD2483">
        <w:t xml:space="preserve">In response to </w:t>
      </w:r>
      <w:r w:rsidR="00710B21">
        <w:t xml:space="preserve">this feedback, </w:t>
      </w:r>
      <w:r w:rsidRPr="00FD2483">
        <w:t xml:space="preserve">the </w:t>
      </w:r>
      <w:r w:rsidR="003336BF">
        <w:t xml:space="preserve">proposed </w:t>
      </w:r>
      <w:r w:rsidR="00F04618">
        <w:t>services</w:t>
      </w:r>
      <w:r w:rsidR="003336BF">
        <w:t xml:space="preserve"> standard requires</w:t>
      </w:r>
      <w:r w:rsidR="00710B21">
        <w:t xml:space="preserve"> </w:t>
      </w:r>
      <w:r w:rsidR="00BA616A">
        <w:t>contact details for the “person or company responsible for the installation” rather than the individual installer.</w:t>
      </w:r>
    </w:p>
    <w:p w:rsidR="00C045B0" w:rsidRPr="00FD2483" w:rsidRDefault="00C045B0" w:rsidP="0078799C">
      <w:pPr>
        <w:ind w:left="851"/>
      </w:pPr>
    </w:p>
    <w:p w:rsidR="0078799C" w:rsidRPr="00FD2483" w:rsidRDefault="0078799C" w:rsidP="0078799C">
      <w:pPr>
        <w:ind w:left="851"/>
      </w:pPr>
      <w:r w:rsidRPr="00FD2483">
        <w:t xml:space="preserve">Two submissions commented on </w:t>
      </w:r>
      <w:r w:rsidR="003336BF">
        <w:t>the possible requirement that records of installation be kept</w:t>
      </w:r>
      <w:r w:rsidR="00710B21">
        <w:t xml:space="preserve">. This was raised for consideration in the initial discussion paper. </w:t>
      </w:r>
      <w:r w:rsidRPr="00FD2483">
        <w:t xml:space="preserve"> </w:t>
      </w:r>
      <w:r w:rsidR="003336BF">
        <w:t>One agreed on the need for records to be kept and for audits to be made</w:t>
      </w:r>
      <w:r w:rsidR="00710B21">
        <w:t xml:space="preserve">; the other </w:t>
      </w:r>
      <w:r w:rsidR="003336BF">
        <w:t>suggested that such records be kept by the retailer rather than the installer.</w:t>
      </w:r>
      <w:r w:rsidRPr="00FD2483">
        <w:t xml:space="preserve"> </w:t>
      </w:r>
    </w:p>
    <w:p w:rsidR="0078799C" w:rsidRPr="00FD2483" w:rsidRDefault="0078799C" w:rsidP="0078799C">
      <w:pPr>
        <w:ind w:left="851"/>
      </w:pPr>
    </w:p>
    <w:p w:rsidR="0078799C" w:rsidRPr="00FD2483" w:rsidRDefault="0078799C" w:rsidP="0078799C">
      <w:pPr>
        <w:ind w:left="851"/>
      </w:pPr>
      <w:r w:rsidRPr="00FD2483">
        <w:t>Two submissions</w:t>
      </w:r>
      <w:r w:rsidR="003336BF">
        <w:t>, and a number of discussants,</w:t>
      </w:r>
      <w:r w:rsidRPr="00FD2483">
        <w:t xml:space="preserve"> asked for clarification of how long records should be </w:t>
      </w:r>
      <w:r w:rsidR="00710B21">
        <w:t xml:space="preserve">(or would be required to be) </w:t>
      </w:r>
      <w:r w:rsidRPr="00FD2483">
        <w:t xml:space="preserve">kept for.  </w:t>
      </w:r>
    </w:p>
    <w:p w:rsidR="0078799C" w:rsidRPr="00FD2483" w:rsidRDefault="0078799C" w:rsidP="0078799C">
      <w:pPr>
        <w:ind w:left="851"/>
      </w:pPr>
    </w:p>
    <w:p w:rsidR="009A20B4" w:rsidRDefault="00FD2483" w:rsidP="0078799C">
      <w:pPr>
        <w:ind w:left="851"/>
      </w:pPr>
      <w:r w:rsidRPr="00FD2483">
        <w:t xml:space="preserve">In response to stakeholder feedback, the </w:t>
      </w:r>
      <w:r w:rsidR="00BA616A">
        <w:t xml:space="preserve">explicit requirement </w:t>
      </w:r>
      <w:bookmarkStart w:id="8" w:name="_GoBack"/>
      <w:r w:rsidR="00BA616A">
        <w:t>for record keeping has been removed</w:t>
      </w:r>
      <w:r w:rsidR="006F0747">
        <w:t xml:space="preserve"> from the proposed </w:t>
      </w:r>
      <w:r w:rsidR="00F04618">
        <w:t>services</w:t>
      </w:r>
      <w:r w:rsidR="006F0747">
        <w:t xml:space="preserve"> standard</w:t>
      </w:r>
      <w:r w:rsidR="00BA616A">
        <w:t xml:space="preserve">. </w:t>
      </w:r>
      <w:proofErr w:type="gramStart"/>
      <w:r w:rsidR="009A20B4">
        <w:t xml:space="preserve">While </w:t>
      </w:r>
      <w:r w:rsidRPr="00FD2483">
        <w:t xml:space="preserve"> the</w:t>
      </w:r>
      <w:proofErr w:type="gramEnd"/>
      <w:r w:rsidRPr="00FD2483">
        <w:t xml:space="preserve"> ACCC </w:t>
      </w:r>
      <w:r w:rsidR="0078799C" w:rsidRPr="00FD2483">
        <w:t xml:space="preserve">is of the view that record keeping </w:t>
      </w:r>
      <w:r w:rsidRPr="00FD2483">
        <w:t>makes good business sense and would encourage installers to do so</w:t>
      </w:r>
      <w:r w:rsidR="009A20B4">
        <w:t>, d</w:t>
      </w:r>
      <w:r w:rsidR="009A20B4" w:rsidRPr="009A20B4">
        <w:t xml:space="preserve">iscussion following the first round of consultation emphasised the impact of the proposed requirement to fix contact details to the installed CIWC and de-emphasised the additional value of requiring detailed record keeping by installers. </w:t>
      </w:r>
    </w:p>
    <w:p w:rsidR="009A20B4" w:rsidRDefault="009A20B4" w:rsidP="0078799C">
      <w:pPr>
        <w:ind w:left="851"/>
      </w:pPr>
    </w:p>
    <w:p w:rsidR="0078799C" w:rsidRDefault="009A20B4" w:rsidP="0078799C">
      <w:pPr>
        <w:ind w:left="851"/>
      </w:pPr>
      <w:r w:rsidRPr="009A20B4">
        <w:t>It is proposed that any need for record keeping be included in the post implementation review of any regulation</w:t>
      </w:r>
      <w:r>
        <w:t>.</w:t>
      </w:r>
    </w:p>
    <w:bookmarkEnd w:id="8"/>
    <w:p w:rsidR="00BA616A" w:rsidRDefault="00BA616A" w:rsidP="0078799C">
      <w:pPr>
        <w:ind w:left="851"/>
      </w:pPr>
    </w:p>
    <w:p w:rsidR="0078799C" w:rsidRPr="00FD2483" w:rsidRDefault="00DA44A4" w:rsidP="00DA44A4">
      <w:pPr>
        <w:numPr>
          <w:ilvl w:val="0"/>
          <w:numId w:val="4"/>
        </w:numPr>
        <w:tabs>
          <w:tab w:val="clear" w:pos="720"/>
          <w:tab w:val="num" w:pos="900"/>
        </w:tabs>
        <w:spacing w:before="120" w:line="240" w:lineRule="atLeast"/>
        <w:ind w:left="896" w:hanging="357"/>
        <w:jc w:val="both"/>
      </w:pPr>
      <w:r>
        <w:t>Other</w:t>
      </w:r>
      <w:r w:rsidR="0078799C" w:rsidRPr="00FD2483">
        <w:t xml:space="preserve">  </w:t>
      </w:r>
    </w:p>
    <w:p w:rsidR="0078799C" w:rsidRPr="00FD2483" w:rsidRDefault="0078799C" w:rsidP="0078799C">
      <w:pPr>
        <w:ind w:left="851"/>
      </w:pPr>
    </w:p>
    <w:p w:rsidR="0078799C" w:rsidRPr="00FD2483" w:rsidRDefault="0078799C" w:rsidP="0078799C">
      <w:pPr>
        <w:ind w:left="851"/>
      </w:pPr>
      <w:r w:rsidRPr="00FD2483">
        <w:t>An advocacy group raised concern over the effect of giving too narrow an age range for the children at risk.</w:t>
      </w:r>
    </w:p>
    <w:p w:rsidR="0078799C" w:rsidRPr="00FD2483" w:rsidRDefault="0078799C" w:rsidP="0078799C">
      <w:pPr>
        <w:ind w:left="851"/>
      </w:pPr>
    </w:p>
    <w:p w:rsidR="0078799C" w:rsidRPr="00FD2483" w:rsidRDefault="0078799C" w:rsidP="0078799C">
      <w:pPr>
        <w:ind w:left="851"/>
      </w:pPr>
      <w:r w:rsidRPr="00FD2483">
        <w:t>One submission reported that</w:t>
      </w:r>
      <w:r w:rsidR="00976CB5">
        <w:t xml:space="preserve"> it</w:t>
      </w:r>
      <w:r w:rsidRPr="00FD2483">
        <w:t xml:space="preserve"> is common practice for housing developers to purchase packaged </w:t>
      </w:r>
      <w:r w:rsidR="000D7090">
        <w:t>coverings</w:t>
      </w:r>
      <w:r w:rsidRPr="00FD2483">
        <w:t xml:space="preserve"> and to have them installed without safety devices.</w:t>
      </w:r>
    </w:p>
    <w:p w:rsidR="0078799C" w:rsidRPr="00FD2483" w:rsidRDefault="0078799C" w:rsidP="0078799C">
      <w:pPr>
        <w:ind w:left="851"/>
      </w:pPr>
    </w:p>
    <w:p w:rsidR="00FD2483" w:rsidRPr="00FD2483" w:rsidRDefault="00FD2483" w:rsidP="0078799C">
      <w:pPr>
        <w:ind w:left="851"/>
      </w:pPr>
      <w:r w:rsidRPr="00FD2483">
        <w:t>The ACCC is not proposing a regulation based on an ‘at-risk’ age range, or whether there are children under a certain age in a household.</w:t>
      </w:r>
    </w:p>
    <w:p w:rsidR="00FD2483" w:rsidRPr="00FD2483" w:rsidRDefault="00FD2483" w:rsidP="0078799C">
      <w:pPr>
        <w:ind w:left="851"/>
      </w:pPr>
    </w:p>
    <w:p w:rsidR="00FD2483" w:rsidRPr="00FD2483" w:rsidRDefault="00FD2483" w:rsidP="0078799C">
      <w:pPr>
        <w:ind w:left="851"/>
      </w:pPr>
      <w:r w:rsidRPr="00FD2483">
        <w:t>In relation to the reported practice of housing developers, if the proposed services standard is made mandatory, it would be illegal for developers/their installers to install CIWC without safety devices.</w:t>
      </w:r>
    </w:p>
    <w:p w:rsidR="0078799C" w:rsidRDefault="0078799C" w:rsidP="0078799C">
      <w:pPr>
        <w:ind w:left="851"/>
      </w:pPr>
    </w:p>
    <w:p w:rsidR="007D4B38" w:rsidRDefault="00CF7446" w:rsidP="001F6CB2">
      <w:pPr>
        <w:pStyle w:val="Heading3"/>
        <w:numPr>
          <w:ilvl w:val="0"/>
          <w:numId w:val="12"/>
        </w:numPr>
      </w:pPr>
      <w:bookmarkStart w:id="9" w:name="_Toc360026202"/>
      <w:r>
        <w:t>A services standard is u</w:t>
      </w:r>
      <w:r w:rsidR="00201038" w:rsidRPr="002229B9">
        <w:t>nwarranted</w:t>
      </w:r>
      <w:r>
        <w:t xml:space="preserve"> or would </w:t>
      </w:r>
      <w:r w:rsidR="00103637" w:rsidRPr="002229B9">
        <w:t>introduce difficulty</w:t>
      </w:r>
      <w:bookmarkEnd w:id="9"/>
    </w:p>
    <w:p w:rsidR="007D4B38" w:rsidRDefault="007D4B38" w:rsidP="007D4B38">
      <w:pPr>
        <w:ind w:left="851"/>
      </w:pPr>
    </w:p>
    <w:p w:rsidR="0050018C" w:rsidRDefault="007D4B38" w:rsidP="00DA44A4">
      <w:r>
        <w:t>T</w:t>
      </w:r>
      <w:r w:rsidR="00E7554B">
        <w:t>hree industry</w:t>
      </w:r>
      <w:r w:rsidR="004839BA">
        <w:t xml:space="preserve"> submissions </w:t>
      </w:r>
      <w:r w:rsidR="00631B2A">
        <w:t xml:space="preserve">did not support </w:t>
      </w:r>
      <w:r w:rsidR="004839BA">
        <w:t xml:space="preserve">the proposal </w:t>
      </w:r>
      <w:r w:rsidR="00631B2A">
        <w:t xml:space="preserve">on the basis that it </w:t>
      </w:r>
      <w:r w:rsidR="004839BA">
        <w:t>was unwarranted</w:t>
      </w:r>
      <w:r w:rsidR="000B2F97">
        <w:t xml:space="preserve"> or an over-reaction</w:t>
      </w:r>
      <w:r w:rsidR="00FB0214">
        <w:t xml:space="preserve"> to the safety risk</w:t>
      </w:r>
      <w:r w:rsidR="00CF7446">
        <w:t xml:space="preserve">. A subset of this </w:t>
      </w:r>
      <w:r w:rsidR="00631B2A">
        <w:t>position</w:t>
      </w:r>
      <w:r w:rsidR="00CF7446">
        <w:t xml:space="preserve"> was that </w:t>
      </w:r>
      <w:r w:rsidR="00FB0214">
        <w:t>that the safety of children is</w:t>
      </w:r>
      <w:r w:rsidR="00CF7446">
        <w:t xml:space="preserve"> a parental responsibility</w:t>
      </w:r>
      <w:r w:rsidR="00FB0214">
        <w:t>.</w:t>
      </w:r>
      <w:r w:rsidR="00CF7446">
        <w:t xml:space="preserve"> These submissions characterised the proposed services standard </w:t>
      </w:r>
      <w:r w:rsidR="00FB0214">
        <w:t xml:space="preserve">as ‘attacking our industry’ or ‘[hindering] industry because of a small demographic’. </w:t>
      </w:r>
    </w:p>
    <w:p w:rsidR="0050018C" w:rsidRDefault="0050018C" w:rsidP="007D4B38">
      <w:pPr>
        <w:ind w:left="851"/>
      </w:pPr>
    </w:p>
    <w:p w:rsidR="007D4B38" w:rsidRDefault="00201038" w:rsidP="00DA44A4">
      <w:r>
        <w:t xml:space="preserve">Associated </w:t>
      </w:r>
      <w:r w:rsidR="00631B2A">
        <w:t>comments</w:t>
      </w:r>
      <w:r>
        <w:t xml:space="preserve"> were that the measure would be ‘counterproductive and confusing’ and ‘increase risk for older people’.</w:t>
      </w:r>
      <w:r w:rsidR="00C93679">
        <w:t xml:space="preserve"> </w:t>
      </w:r>
    </w:p>
    <w:p w:rsidR="0050018C" w:rsidRDefault="0050018C" w:rsidP="007D4B38">
      <w:pPr>
        <w:ind w:left="851"/>
      </w:pPr>
    </w:p>
    <w:p w:rsidR="0050018C" w:rsidRDefault="0050018C" w:rsidP="00DA44A4">
      <w:r>
        <w:t xml:space="preserve">The ACCC is of the view that the proposed services </w:t>
      </w:r>
      <w:r w:rsidR="00C06ABA">
        <w:t>standard will place little if any compliance burden on suppliers</w:t>
      </w:r>
      <w:r w:rsidR="006F0747">
        <w:t xml:space="preserve">. This is </w:t>
      </w:r>
      <w:r w:rsidR="00C06ABA">
        <w:t>consistent with anecdotal advice to the ACCC that the majority of installers follow the instructions provided with the CIWC.</w:t>
      </w:r>
    </w:p>
    <w:p w:rsidR="00883566" w:rsidRDefault="00883566" w:rsidP="007D4B38">
      <w:pPr>
        <w:ind w:left="851"/>
      </w:pPr>
    </w:p>
    <w:p w:rsidR="006F0747" w:rsidRDefault="00D947C8" w:rsidP="00DA44A4">
      <w:r>
        <w:t>H</w:t>
      </w:r>
      <w:r w:rsidR="00883566" w:rsidRPr="00AA4035">
        <w:t>azardous loops which can be formed when installation instructions are not followed</w:t>
      </w:r>
      <w:r w:rsidR="006F0747">
        <w:t xml:space="preserve"> are a potentially life threatening risk to children</w:t>
      </w:r>
      <w:r>
        <w:t>,</w:t>
      </w:r>
      <w:r w:rsidR="006F0747">
        <w:t xml:space="preserve"> as demonstrated by </w:t>
      </w:r>
      <w:r>
        <w:t xml:space="preserve">the injury and death data. Given that </w:t>
      </w:r>
      <w:r w:rsidR="006F0747">
        <w:t xml:space="preserve">hazardous installations </w:t>
      </w:r>
      <w:r>
        <w:t xml:space="preserve">resulting in </w:t>
      </w:r>
      <w:r w:rsidR="00AA4035">
        <w:t>dangerous cords or loops</w:t>
      </w:r>
      <w:r w:rsidR="006F0747">
        <w:t xml:space="preserve"> have occurred</w:t>
      </w:r>
      <w:r w:rsidR="00AA4035">
        <w:t xml:space="preserve">, </w:t>
      </w:r>
      <w:r w:rsidR="00883566" w:rsidRPr="00AA4035">
        <w:t>the ACCC believes that</w:t>
      </w:r>
      <w:r w:rsidR="00AA4035">
        <w:t xml:space="preserve"> a services standard requiring suppliers </w:t>
      </w:r>
      <w:r w:rsidR="001C1484">
        <w:t xml:space="preserve">to install CIWC in a manner consistent with the instructions provided with the product is justified. Furthermore, </w:t>
      </w:r>
      <w:r w:rsidR="006F0747">
        <w:t xml:space="preserve">the ACCC is of the view that the compliance cost to industry </w:t>
      </w:r>
      <w:r w:rsidR="006557DE">
        <w:t xml:space="preserve">of a </w:t>
      </w:r>
      <w:r w:rsidR="00F04618">
        <w:t>services</w:t>
      </w:r>
      <w:r w:rsidR="006557DE">
        <w:t xml:space="preserve"> standard </w:t>
      </w:r>
      <w:r>
        <w:t>would be</w:t>
      </w:r>
      <w:r w:rsidR="006F0747">
        <w:t xml:space="preserve"> very low</w:t>
      </w:r>
      <w:r w:rsidR="005E7924">
        <w:t>. The feedback received from industry to-date is that the proposed services standard is not a concern for them.</w:t>
      </w:r>
      <w:r w:rsidR="006F0747">
        <w:t xml:space="preserve"> </w:t>
      </w:r>
    </w:p>
    <w:p w:rsidR="006F0747" w:rsidRDefault="006F0747" w:rsidP="007D4B38">
      <w:pPr>
        <w:ind w:left="851"/>
      </w:pPr>
    </w:p>
    <w:p w:rsidR="00883566" w:rsidRDefault="006F0747" w:rsidP="00DA44A4">
      <w:r>
        <w:t>T</w:t>
      </w:r>
      <w:r w:rsidR="001C1484">
        <w:t>he ACCC believes it is unlikely that any regulation would increase risk for older people, or be counterproductive or confusing: the proposed services standard is simply mandating that installers install CIWC in a way consistent with the installation instructions that come with the product.</w:t>
      </w:r>
    </w:p>
    <w:p w:rsidR="007D4B38" w:rsidRDefault="007D4B38" w:rsidP="007D4B38">
      <w:pPr>
        <w:ind w:left="851"/>
      </w:pPr>
    </w:p>
    <w:p w:rsidR="007D4B38" w:rsidRDefault="00C93679" w:rsidP="00DA44A4">
      <w:r>
        <w:t xml:space="preserve">One submission </w:t>
      </w:r>
      <w:r w:rsidR="00631B2A">
        <w:t>sought</w:t>
      </w:r>
      <w:r>
        <w:t xml:space="preserve"> the repeal of existing supply regulation and its replacement with an obligation on industry to educate consumers at the point of sale.</w:t>
      </w:r>
      <w:r w:rsidR="00103637">
        <w:t xml:space="preserve"> </w:t>
      </w:r>
      <w:r w:rsidR="0050018C">
        <w:t>This is outside the scope of the consultation and is not currently being considered by the ACCC.</w:t>
      </w:r>
    </w:p>
    <w:p w:rsidR="0042342B" w:rsidRDefault="00103637" w:rsidP="00DA44A4">
      <w:pPr>
        <w:spacing w:before="120"/>
      </w:pPr>
      <w:r>
        <w:t>One submission</w:t>
      </w:r>
      <w:r w:rsidR="00631B2A">
        <w:t>,</w:t>
      </w:r>
      <w:r>
        <w:t xml:space="preserve"> </w:t>
      </w:r>
      <w:r w:rsidR="00631B2A">
        <w:t xml:space="preserve">which </w:t>
      </w:r>
      <w:r>
        <w:t>g</w:t>
      </w:r>
      <w:r w:rsidR="00631B2A">
        <w:t>ave</w:t>
      </w:r>
      <w:r>
        <w:t xml:space="preserve"> no opinion on the basic proposal</w:t>
      </w:r>
      <w:r w:rsidR="00631B2A">
        <w:t>,</w:t>
      </w:r>
      <w:r>
        <w:t xml:space="preserve"> noted the measures would </w:t>
      </w:r>
      <w:r w:rsidR="00570786">
        <w:t xml:space="preserve">cause </w:t>
      </w:r>
      <w:r>
        <w:t>difficulty for people using wheel chairs.</w:t>
      </w:r>
      <w:r w:rsidR="0042342B">
        <w:t xml:space="preserve"> The ACCC’s view is that requiring installers to securely affix cords to they are not able to form a hazardous loop is unlikely to add particular difficulties for people using wheelchairs</w:t>
      </w:r>
      <w:r w:rsidR="006557DE">
        <w:t xml:space="preserve">. </w:t>
      </w:r>
      <w:r w:rsidR="0042342B">
        <w:t>Community groups and consumer advocates actively supported the proposed services standard</w:t>
      </w:r>
      <w:r w:rsidR="005E7924">
        <w:t>.</w:t>
      </w:r>
    </w:p>
    <w:p w:rsidR="00C73877" w:rsidRPr="00C73877" w:rsidRDefault="0042342B" w:rsidP="00DA44A4">
      <w:pPr>
        <w:spacing w:before="120"/>
      </w:pPr>
      <w:r>
        <w:t>In summary,</w:t>
      </w:r>
      <w:r w:rsidR="00CD4107">
        <w:t xml:space="preserve"> the ACCC has </w:t>
      </w:r>
      <w:r>
        <w:t xml:space="preserve">not made substantial changes to the proposed services standard in response to </w:t>
      </w:r>
      <w:r w:rsidR="00CD4107">
        <w:t xml:space="preserve">the </w:t>
      </w:r>
      <w:r>
        <w:t xml:space="preserve">feedback </w:t>
      </w:r>
      <w:r w:rsidR="00CD4107">
        <w:t>noted in this section</w:t>
      </w:r>
      <w:r w:rsidR="00631B2A">
        <w:t>.</w:t>
      </w:r>
      <w:r w:rsidR="00CD4107">
        <w:t xml:space="preserve"> </w:t>
      </w:r>
    </w:p>
    <w:p w:rsidR="007D4B38" w:rsidRDefault="007D4B38" w:rsidP="007D4B38">
      <w:pPr>
        <w:ind w:left="851"/>
      </w:pPr>
    </w:p>
    <w:p w:rsidR="007D4B38" w:rsidRDefault="00522AD3" w:rsidP="001F6CB2">
      <w:pPr>
        <w:pStyle w:val="Heading3"/>
        <w:numPr>
          <w:ilvl w:val="0"/>
          <w:numId w:val="12"/>
        </w:numPr>
      </w:pPr>
      <w:bookmarkStart w:id="10" w:name="_Toc360026203"/>
      <w:r>
        <w:t>A services standard will not effectively mitigate the hazard</w:t>
      </w:r>
      <w:bookmarkEnd w:id="10"/>
    </w:p>
    <w:p w:rsidR="007D4B38" w:rsidRDefault="007D4B38" w:rsidP="007D4B38">
      <w:pPr>
        <w:ind w:left="851"/>
      </w:pPr>
    </w:p>
    <w:p w:rsidR="007D4B38" w:rsidRDefault="007D4B38" w:rsidP="00DA44A4">
      <w:r>
        <w:t>T</w:t>
      </w:r>
      <w:r w:rsidR="00E7554B">
        <w:t xml:space="preserve">wo submissions </w:t>
      </w:r>
      <w:r w:rsidR="00631B2A">
        <w:t xml:space="preserve">commented </w:t>
      </w:r>
      <w:r w:rsidR="00E7554B">
        <w:t xml:space="preserve">that the measure would </w:t>
      </w:r>
      <w:r w:rsidR="00201038">
        <w:t>have</w:t>
      </w:r>
      <w:r w:rsidR="00E7554B">
        <w:t xml:space="preserve"> little or no effect or </w:t>
      </w:r>
      <w:r w:rsidR="00570786">
        <w:t xml:space="preserve">would </w:t>
      </w:r>
      <w:r w:rsidR="00E7554B">
        <w:t xml:space="preserve">not </w:t>
      </w:r>
      <w:r w:rsidR="00570786">
        <w:t xml:space="preserve">be </w:t>
      </w:r>
      <w:r w:rsidR="00E7554B">
        <w:t xml:space="preserve">as effective </w:t>
      </w:r>
      <w:r w:rsidR="007D06BF">
        <w:t xml:space="preserve">in mitigating the hazard when compared with alternatives </w:t>
      </w:r>
      <w:r w:rsidR="00E7554B">
        <w:t xml:space="preserve">such as </w:t>
      </w:r>
      <w:r w:rsidR="007D06BF">
        <w:t xml:space="preserve">the </w:t>
      </w:r>
      <w:r w:rsidR="00E7554B">
        <w:t xml:space="preserve">education of parents. </w:t>
      </w:r>
    </w:p>
    <w:p w:rsidR="00625726" w:rsidRDefault="00625726" w:rsidP="007D4B38">
      <w:pPr>
        <w:ind w:left="851"/>
      </w:pPr>
    </w:p>
    <w:p w:rsidR="00625726" w:rsidRDefault="00631B2A" w:rsidP="00DA44A4">
      <w:r>
        <w:t>T</w:t>
      </w:r>
      <w:r w:rsidR="00625726">
        <w:t>he ACCC educate</w:t>
      </w:r>
      <w:r>
        <w:t>s</w:t>
      </w:r>
      <w:r w:rsidR="00625726">
        <w:t xml:space="preserve"> parents and carers about the hazards </w:t>
      </w:r>
      <w:r w:rsidR="005E7924">
        <w:t xml:space="preserve">for children </w:t>
      </w:r>
      <w:r w:rsidR="00625726">
        <w:t>associated with CIWC</w:t>
      </w:r>
      <w:r>
        <w:t xml:space="preserve"> and will continue to do this</w:t>
      </w:r>
      <w:r w:rsidR="00625726">
        <w:t>. However the ACCC does not believe that parental education alone sufficiently mitigates the hazard.</w:t>
      </w:r>
    </w:p>
    <w:p w:rsidR="00450AED" w:rsidRDefault="00450AED" w:rsidP="007D4B38">
      <w:pPr>
        <w:ind w:left="851"/>
      </w:pPr>
    </w:p>
    <w:p w:rsidR="00450AED" w:rsidRDefault="00450AED" w:rsidP="00DA44A4">
      <w:r>
        <w:t>One submission said that the main safety concern is ‘backyard operators’ and these people would not comply with the proposed regulation</w:t>
      </w:r>
      <w:r w:rsidR="007D06BF">
        <w:t xml:space="preserve"> anyway</w:t>
      </w:r>
      <w:r>
        <w:t xml:space="preserve">. </w:t>
      </w:r>
    </w:p>
    <w:p w:rsidR="00625726" w:rsidRDefault="00625726" w:rsidP="00450AED">
      <w:pPr>
        <w:ind w:left="851"/>
      </w:pPr>
    </w:p>
    <w:p w:rsidR="00625726" w:rsidRDefault="00625726" w:rsidP="00DA44A4">
      <w:r>
        <w:t xml:space="preserve">If a services standard is implemented, the ACCC and other regulators would have the power to enforce compliance and prosecute any non-compliance. At present, </w:t>
      </w:r>
      <w:r w:rsidR="00337237">
        <w:t>there is little regulators can do to require installers to follow instructions</w:t>
      </w:r>
      <w:r w:rsidR="00631B2A">
        <w:t xml:space="preserve"> </w:t>
      </w:r>
      <w:r w:rsidR="005E7924">
        <w:t>and take action when this does not occur.</w:t>
      </w:r>
    </w:p>
    <w:p w:rsidR="007D4B38" w:rsidRDefault="007D4B38" w:rsidP="007D4B38">
      <w:pPr>
        <w:ind w:left="851"/>
      </w:pPr>
    </w:p>
    <w:p w:rsidR="00337237" w:rsidRDefault="00201038" w:rsidP="00DA44A4">
      <w:r>
        <w:t xml:space="preserve">An installer </w:t>
      </w:r>
      <w:r w:rsidR="00631B2A">
        <w:t>suggested</w:t>
      </w:r>
      <w:r w:rsidR="00655F6E">
        <w:t xml:space="preserve"> that the focus </w:t>
      </w:r>
      <w:r>
        <w:t xml:space="preserve">of action </w:t>
      </w:r>
      <w:r w:rsidR="00655F6E">
        <w:t xml:space="preserve">should be on improving </w:t>
      </w:r>
      <w:r w:rsidR="00C73877">
        <w:t xml:space="preserve">window coverings </w:t>
      </w:r>
      <w:r w:rsidR="00655F6E">
        <w:t xml:space="preserve">themselves as ‘all blinds can be made safe’. </w:t>
      </w:r>
    </w:p>
    <w:p w:rsidR="00337237" w:rsidRDefault="00337237" w:rsidP="00337237">
      <w:pPr>
        <w:ind w:left="851"/>
      </w:pPr>
    </w:p>
    <w:p w:rsidR="00C73877" w:rsidRPr="00C73877" w:rsidRDefault="00337237" w:rsidP="00DA44A4">
      <w:r>
        <w:t xml:space="preserve">The ACCC is aware </w:t>
      </w:r>
      <w:r w:rsidR="00CD207F">
        <w:t xml:space="preserve">of existing and ongoing effort </w:t>
      </w:r>
      <w:r w:rsidR="005E7924">
        <w:t xml:space="preserve">related to </w:t>
      </w:r>
      <w:r w:rsidR="00CD207F">
        <w:t xml:space="preserve">the development of </w:t>
      </w:r>
      <w:r>
        <w:t>cordless window coverings</w:t>
      </w:r>
      <w:r w:rsidR="00CD207F">
        <w:t xml:space="preserve"> and devices that do not permit formation of or access to hazardous lengths or loops</w:t>
      </w:r>
      <w:r>
        <w:t xml:space="preserve">. </w:t>
      </w:r>
      <w:r w:rsidR="005B6CF7">
        <w:t>Technical solutions that reduce or remove hazardous cords and loops will continue to be encouraged</w:t>
      </w:r>
      <w:r>
        <w:t>—however the reality of the current market is that corded products can and will continue to be supplied into the foreseeable future, so other ways to address the hazard need to be implemented.</w:t>
      </w:r>
      <w:r w:rsidR="005B6CF7">
        <w:t xml:space="preserve"> </w:t>
      </w:r>
    </w:p>
    <w:p w:rsidR="007D4B38" w:rsidRDefault="007D4B38" w:rsidP="007D4B38">
      <w:pPr>
        <w:ind w:left="851"/>
      </w:pPr>
    </w:p>
    <w:p w:rsidR="007D4B38" w:rsidRDefault="00522AD3" w:rsidP="001F6CB2">
      <w:pPr>
        <w:pStyle w:val="Heading3"/>
        <w:numPr>
          <w:ilvl w:val="0"/>
          <w:numId w:val="12"/>
        </w:numPr>
      </w:pPr>
      <w:bookmarkStart w:id="11" w:name="_Toc360026204"/>
      <w:r>
        <w:t xml:space="preserve">A services standard won’t improve the safety of ‘DIY’ blinds </w:t>
      </w:r>
      <w:r w:rsidR="0078799C">
        <w:t>that</w:t>
      </w:r>
      <w:r>
        <w:t xml:space="preserve"> consumers install themselves</w:t>
      </w:r>
      <w:bookmarkEnd w:id="11"/>
      <w:r w:rsidR="00C93679">
        <w:t xml:space="preserve"> </w:t>
      </w:r>
    </w:p>
    <w:p w:rsidR="007D4B38" w:rsidRDefault="007D4B38" w:rsidP="007D4B38">
      <w:pPr>
        <w:ind w:left="851"/>
      </w:pPr>
    </w:p>
    <w:p w:rsidR="007D4B38" w:rsidRDefault="007D4B38" w:rsidP="00DA44A4">
      <w:r>
        <w:t>A</w:t>
      </w:r>
      <w:r w:rsidR="00C93679">
        <w:t xml:space="preserve"> </w:t>
      </w:r>
      <w:r w:rsidR="00FB0214">
        <w:t xml:space="preserve">supplier expressed support in principle for action but </w:t>
      </w:r>
      <w:r w:rsidR="00201038">
        <w:t>argued</w:t>
      </w:r>
      <w:r w:rsidR="00FB0214">
        <w:t xml:space="preserve"> that</w:t>
      </w:r>
      <w:r w:rsidR="00201038">
        <w:t xml:space="preserve"> the </w:t>
      </w:r>
      <w:r w:rsidR="00FB0214">
        <w:t xml:space="preserve">regulation </w:t>
      </w:r>
      <w:r w:rsidR="00201038">
        <w:t>would</w:t>
      </w:r>
      <w:r w:rsidR="00FB0214">
        <w:t xml:space="preserve"> have limited effect because of the proportion of self-installation that occurs. </w:t>
      </w:r>
    </w:p>
    <w:p w:rsidR="00450AED" w:rsidRDefault="00450AED" w:rsidP="007D4B38">
      <w:pPr>
        <w:ind w:left="851"/>
      </w:pPr>
    </w:p>
    <w:p w:rsidR="00655F6E" w:rsidRDefault="00655F6E" w:rsidP="00DA44A4">
      <w:r>
        <w:t>An industry association</w:t>
      </w:r>
      <w:r w:rsidR="00201038">
        <w:t xml:space="preserve"> not</w:t>
      </w:r>
      <w:r w:rsidR="00450AED">
        <w:t xml:space="preserve">ed that </w:t>
      </w:r>
      <w:r w:rsidR="00201038">
        <w:t>supply</w:t>
      </w:r>
      <w:r w:rsidR="00450AED">
        <w:t xml:space="preserve"> is split</w:t>
      </w:r>
      <w:r w:rsidR="00201038">
        <w:t xml:space="preserve"> between measured/fitted product and</w:t>
      </w:r>
      <w:r>
        <w:t xml:space="preserve"> pre-</w:t>
      </w:r>
      <w:r w:rsidR="00450AED">
        <w:t>packaged</w:t>
      </w:r>
      <w:r>
        <w:t xml:space="preserve"> and/or </w:t>
      </w:r>
      <w:r w:rsidR="005E7924">
        <w:t>DIY/</w:t>
      </w:r>
      <w:r>
        <w:t>self</w:t>
      </w:r>
      <w:r w:rsidR="005E7924">
        <w:t>-</w:t>
      </w:r>
      <w:r>
        <w:t xml:space="preserve">install </w:t>
      </w:r>
      <w:r w:rsidR="005E7924">
        <w:t xml:space="preserve">CIWC. This association </w:t>
      </w:r>
      <w:r w:rsidR="00450AED">
        <w:t xml:space="preserve">argued </w:t>
      </w:r>
      <w:r w:rsidR="005E7924">
        <w:t xml:space="preserve">that </w:t>
      </w:r>
      <w:r w:rsidR="00450AED">
        <w:t>the proposed regulation would</w:t>
      </w:r>
      <w:r w:rsidR="00CD207F">
        <w:t xml:space="preserve"> not</w:t>
      </w:r>
      <w:r w:rsidR="00450AED">
        <w:t xml:space="preserve"> improve the safety of the latter</w:t>
      </w:r>
      <w:r>
        <w:t>.</w:t>
      </w:r>
    </w:p>
    <w:p w:rsidR="005B6CF7" w:rsidRDefault="005B6CF7" w:rsidP="007D4B38">
      <w:pPr>
        <w:ind w:left="851"/>
      </w:pPr>
    </w:p>
    <w:p w:rsidR="007D4B38" w:rsidRDefault="001936E4" w:rsidP="00DA44A4">
      <w:r>
        <w:t>‘DIY’ blinds intended for consumers to self-install are already required by law to be supplied with installation instructions for consumers to follow. This will not change.</w:t>
      </w:r>
      <w:r w:rsidR="00CD207F">
        <w:t xml:space="preserve"> Safe ‘DIY’ installation of CIWC will continue to be part of the education campaigns and safety promotion efforts of the ACCC.</w:t>
      </w:r>
    </w:p>
    <w:p w:rsidR="00DB32DE" w:rsidRPr="007C4367" w:rsidRDefault="00DB32DE" w:rsidP="007C4367">
      <w:pPr>
        <w:pStyle w:val="Heading1"/>
      </w:pPr>
      <w:bookmarkStart w:id="12" w:name="_Toc360026205"/>
      <w:r w:rsidRPr="007C4367">
        <w:t>Proposed Regulation</w:t>
      </w:r>
      <w:bookmarkEnd w:id="12"/>
    </w:p>
    <w:p w:rsidR="00F07100" w:rsidRDefault="00F07100" w:rsidP="00DA44A4">
      <w:r>
        <w:t>As noted in the first Discussion Paper it is intended that the specific provisions of the service</w:t>
      </w:r>
      <w:r w:rsidR="009110BF">
        <w:t>s</w:t>
      </w:r>
      <w:r>
        <w:t xml:space="preserve"> standard be </w:t>
      </w:r>
      <w:r w:rsidR="0036293C">
        <w:t>fully</w:t>
      </w:r>
      <w:r w:rsidR="00CD207F">
        <w:t xml:space="preserve"> </w:t>
      </w:r>
      <w:r>
        <w:t>consistent with the existi</w:t>
      </w:r>
      <w:r w:rsidR="00264D2A">
        <w:t>ng supply standard</w:t>
      </w:r>
      <w:r>
        <w:t>.</w:t>
      </w:r>
    </w:p>
    <w:p w:rsidR="0077352D" w:rsidRDefault="0077352D" w:rsidP="0077352D">
      <w:pPr>
        <w:ind w:left="360"/>
      </w:pPr>
    </w:p>
    <w:p w:rsidR="0036293C" w:rsidRDefault="0077352D" w:rsidP="00DA44A4">
      <w:r>
        <w:t xml:space="preserve">The key provisions in the October 2011 discussion paper have not changed in the proposed services standard. However in response to feedback received through that public consultation and from </w:t>
      </w:r>
      <w:r w:rsidR="0036293C">
        <w:t>other feedback from</w:t>
      </w:r>
      <w:r w:rsidR="00DA44A4">
        <w:t xml:space="preserve"> </w:t>
      </w:r>
      <w:r w:rsidR="00CD207F">
        <w:t>stakeholder</w:t>
      </w:r>
      <w:r w:rsidR="0036293C">
        <w:t>s</w:t>
      </w:r>
      <w:r>
        <w:t>, the ACCC has changed some of the detail of the proposed services standard</w:t>
      </w:r>
      <w:r w:rsidR="0036293C">
        <w:t>:</w:t>
      </w:r>
    </w:p>
    <w:p w:rsidR="0036293C" w:rsidRDefault="0036293C" w:rsidP="00DA44A4">
      <w:pPr>
        <w:pStyle w:val="ListParagraph"/>
      </w:pPr>
    </w:p>
    <w:p w:rsidR="0036293C" w:rsidRDefault="00CD207F" w:rsidP="00DA44A4">
      <w:pPr>
        <w:numPr>
          <w:ilvl w:val="0"/>
          <w:numId w:val="4"/>
        </w:numPr>
        <w:tabs>
          <w:tab w:val="clear" w:pos="720"/>
          <w:tab w:val="num" w:pos="900"/>
        </w:tabs>
        <w:spacing w:before="120" w:line="240" w:lineRule="atLeast"/>
        <w:ind w:left="896" w:hanging="357"/>
        <w:jc w:val="both"/>
      </w:pPr>
      <w:r>
        <w:t>The scope of the proposed standard has been limited to domestic dwellings (on the basis that this is where all known deaths have occurred)</w:t>
      </w:r>
      <w:r w:rsidR="00DA44A4">
        <w:t>.</w:t>
      </w:r>
    </w:p>
    <w:p w:rsidR="0036293C" w:rsidRDefault="00DA44A4" w:rsidP="00DA44A4">
      <w:pPr>
        <w:numPr>
          <w:ilvl w:val="0"/>
          <w:numId w:val="4"/>
        </w:numPr>
        <w:tabs>
          <w:tab w:val="clear" w:pos="720"/>
          <w:tab w:val="num" w:pos="900"/>
        </w:tabs>
        <w:spacing w:before="120" w:line="240" w:lineRule="atLeast"/>
        <w:ind w:left="896" w:hanging="357"/>
        <w:jc w:val="both"/>
      </w:pPr>
      <w:r>
        <w:t>T</w:t>
      </w:r>
      <w:r w:rsidR="00CD207F">
        <w:t>he explicit requirement for record keeping has been removed</w:t>
      </w:r>
      <w:r>
        <w:t>.</w:t>
      </w:r>
      <w:r w:rsidR="00CD207F">
        <w:t xml:space="preserve"> </w:t>
      </w:r>
    </w:p>
    <w:p w:rsidR="0077352D" w:rsidRDefault="00DA44A4" w:rsidP="00DA44A4">
      <w:pPr>
        <w:numPr>
          <w:ilvl w:val="0"/>
          <w:numId w:val="4"/>
        </w:numPr>
        <w:tabs>
          <w:tab w:val="clear" w:pos="720"/>
          <w:tab w:val="num" w:pos="900"/>
        </w:tabs>
        <w:spacing w:before="120" w:line="240" w:lineRule="atLeast"/>
        <w:ind w:left="896" w:hanging="357"/>
        <w:jc w:val="both"/>
      </w:pPr>
      <w:r>
        <w:t>T</w:t>
      </w:r>
      <w:r w:rsidR="00CD207F">
        <w:t>he contact details required to be affixed to the installed CIWC are less specifically focussed on the individual installer.</w:t>
      </w:r>
    </w:p>
    <w:p w:rsidR="0077352D" w:rsidRDefault="0077352D" w:rsidP="0077352D">
      <w:pPr>
        <w:ind w:left="360"/>
      </w:pPr>
    </w:p>
    <w:p w:rsidR="0077352D" w:rsidRDefault="0077352D" w:rsidP="00DA44A4">
      <w:r>
        <w:t xml:space="preserve">Any </w:t>
      </w:r>
      <w:r w:rsidR="00F04618">
        <w:t>services</w:t>
      </w:r>
      <w:r w:rsidRPr="005A6AF7">
        <w:t xml:space="preserve"> standard would not be retrospect</w:t>
      </w:r>
      <w:r w:rsidR="00DA44A4">
        <w:t xml:space="preserve">ive. CIWC which have previously </w:t>
      </w:r>
      <w:r w:rsidRPr="005A6AF7">
        <w:t>been installed w</w:t>
      </w:r>
      <w:r>
        <w:t>ould</w:t>
      </w:r>
      <w:r w:rsidRPr="005A6AF7">
        <w:t xml:space="preserve"> not require </w:t>
      </w:r>
      <w:r>
        <w:t>reinstallation</w:t>
      </w:r>
      <w:r w:rsidRPr="005A6AF7">
        <w:t>.</w:t>
      </w:r>
      <w:r>
        <w:t xml:space="preserve"> Therefore a</w:t>
      </w:r>
      <w:r w:rsidRPr="005A6AF7">
        <w:t xml:space="preserve">ny existing hazards associated with unsafe installation will not be affected by any regulatory intervention and will need to be dealt with when CIWC are replaced and/or as part of </w:t>
      </w:r>
      <w:r>
        <w:t xml:space="preserve">other efforts such as </w:t>
      </w:r>
      <w:r w:rsidRPr="005A6AF7">
        <w:t>education campaigns.</w:t>
      </w:r>
    </w:p>
    <w:p w:rsidR="0077352D" w:rsidRDefault="0077352D" w:rsidP="0077352D">
      <w:pPr>
        <w:pStyle w:val="ListParagraph"/>
      </w:pPr>
    </w:p>
    <w:p w:rsidR="00DB32DE" w:rsidRDefault="00D14CAD" w:rsidP="00DA44A4">
      <w:r>
        <w:t>Following public comments and discussion with legal drafters it is proposed that the key provisions of the regulation be</w:t>
      </w:r>
      <w:r w:rsidR="00DB32DE" w:rsidRPr="005A6AF7">
        <w:t>:</w:t>
      </w:r>
    </w:p>
    <w:p w:rsidR="00D14CAD" w:rsidRPr="009110BF" w:rsidRDefault="00D14CAD" w:rsidP="009110BF">
      <w:pPr>
        <w:pStyle w:val="Heading3"/>
      </w:pPr>
      <w:bookmarkStart w:id="13" w:name="_Toc360026206"/>
      <w:r w:rsidRPr="009110BF">
        <w:t>Application</w:t>
      </w:r>
      <w:bookmarkEnd w:id="13"/>
    </w:p>
    <w:p w:rsidR="00DB32DE" w:rsidRDefault="00D14CAD" w:rsidP="00DA44A4">
      <w:pPr>
        <w:numPr>
          <w:ilvl w:val="0"/>
          <w:numId w:val="4"/>
        </w:numPr>
        <w:tabs>
          <w:tab w:val="clear" w:pos="720"/>
          <w:tab w:val="num" w:pos="900"/>
        </w:tabs>
        <w:spacing w:before="120" w:line="240" w:lineRule="atLeast"/>
        <w:ind w:left="896" w:hanging="357"/>
        <w:jc w:val="both"/>
      </w:pPr>
      <w:r>
        <w:t>domestic dwellings excluding caravans, mobile homes and boats</w:t>
      </w:r>
      <w:r w:rsidR="005262BA">
        <w:t>.</w:t>
      </w:r>
      <w:r w:rsidR="00DB32DE" w:rsidRPr="005A6AF7">
        <w:t xml:space="preserve"> </w:t>
      </w:r>
    </w:p>
    <w:p w:rsidR="00D14CAD" w:rsidRPr="009110BF" w:rsidRDefault="00D14CAD" w:rsidP="009110BF">
      <w:pPr>
        <w:pStyle w:val="Heading3"/>
      </w:pPr>
      <w:bookmarkStart w:id="14" w:name="_Toc360026207"/>
      <w:r w:rsidRPr="009110BF">
        <w:t>Installation requirements</w:t>
      </w:r>
      <w:bookmarkEnd w:id="14"/>
    </w:p>
    <w:p w:rsidR="00DB32DE" w:rsidRPr="005A6AF7" w:rsidRDefault="00F07100" w:rsidP="00DA44A4">
      <w:pPr>
        <w:numPr>
          <w:ilvl w:val="0"/>
          <w:numId w:val="4"/>
        </w:numPr>
        <w:tabs>
          <w:tab w:val="clear" w:pos="720"/>
          <w:tab w:val="num" w:pos="900"/>
        </w:tabs>
        <w:spacing w:before="120" w:line="240" w:lineRule="atLeast"/>
        <w:ind w:left="896" w:hanging="357"/>
        <w:jc w:val="both"/>
      </w:pPr>
      <w:r>
        <w:t xml:space="preserve">Ensuring that a loose cord cannot form a loop 220 mm or longer at less than 1,600 mm above floor level </w:t>
      </w:r>
      <w:r w:rsidRPr="00DA44A4">
        <w:rPr>
          <w:u w:val="single"/>
        </w:rPr>
        <w:t>and</w:t>
      </w:r>
      <w:r>
        <w:t xml:space="preserve"> using any components specified in the installation instructions as necessary to meet requirements for cord safety.</w:t>
      </w:r>
      <w:r w:rsidR="00DB32DE" w:rsidRPr="005A6AF7">
        <w:t xml:space="preserve"> </w:t>
      </w:r>
    </w:p>
    <w:p w:rsidR="00DB32DE" w:rsidRPr="005A6AF7" w:rsidRDefault="00F07100" w:rsidP="00DA44A4">
      <w:pPr>
        <w:numPr>
          <w:ilvl w:val="0"/>
          <w:numId w:val="4"/>
        </w:numPr>
        <w:tabs>
          <w:tab w:val="clear" w:pos="720"/>
          <w:tab w:val="num" w:pos="900"/>
        </w:tabs>
        <w:spacing w:before="120" w:line="240" w:lineRule="atLeast"/>
        <w:ind w:left="896" w:hanging="357"/>
        <w:jc w:val="both"/>
      </w:pPr>
      <w:r>
        <w:t>Install</w:t>
      </w:r>
      <w:r w:rsidR="00264D2A">
        <w:t>ation</w:t>
      </w:r>
      <w:r>
        <w:t xml:space="preserve"> in accordance with the installation instructions on any retail packaging </w:t>
      </w:r>
      <w:r w:rsidRPr="00DA44A4">
        <w:rPr>
          <w:u w:val="single"/>
        </w:rPr>
        <w:t>and</w:t>
      </w:r>
      <w:r>
        <w:t xml:space="preserve"> with any other information provided in the installation instructions about how to install the covering for the purpose of ensuring that a loose cord cannot form a loop</w:t>
      </w:r>
      <w:r w:rsidR="004C54E4">
        <w:t>.</w:t>
      </w:r>
    </w:p>
    <w:p w:rsidR="00DB32DE" w:rsidRDefault="004C54E4" w:rsidP="00DA44A4">
      <w:pPr>
        <w:numPr>
          <w:ilvl w:val="0"/>
          <w:numId w:val="4"/>
        </w:numPr>
        <w:tabs>
          <w:tab w:val="clear" w:pos="720"/>
          <w:tab w:val="num" w:pos="900"/>
        </w:tabs>
        <w:spacing w:before="120" w:line="240" w:lineRule="atLeast"/>
        <w:ind w:left="896" w:hanging="357"/>
        <w:jc w:val="both"/>
      </w:pPr>
      <w:r>
        <w:t xml:space="preserve">No part of a cord guide installed lower than 1,600 mm above floor level unless the cord guide will remain firmly attached to a wall or other structure specified in the installation instructions when subjected to a tension force of 70 N applied in any direction for 10 seconds </w:t>
      </w:r>
      <w:r w:rsidRPr="00DA44A4">
        <w:rPr>
          <w:u w:val="single"/>
        </w:rPr>
        <w:t>and</w:t>
      </w:r>
      <w:r>
        <w:t xml:space="preserve"> the cord is sufficiently secured or tensioned to prevent the formation of a loop 220 mm or longer</w:t>
      </w:r>
      <w:r w:rsidR="00DB32DE" w:rsidRPr="005A6AF7">
        <w:t>.</w:t>
      </w:r>
    </w:p>
    <w:p w:rsidR="004C54E4" w:rsidRDefault="004C54E4" w:rsidP="00DA44A4">
      <w:pPr>
        <w:numPr>
          <w:ilvl w:val="0"/>
          <w:numId w:val="4"/>
        </w:numPr>
        <w:tabs>
          <w:tab w:val="clear" w:pos="720"/>
          <w:tab w:val="num" w:pos="900"/>
        </w:tabs>
        <w:spacing w:before="120" w:line="240" w:lineRule="atLeast"/>
        <w:ind w:left="896" w:hanging="357"/>
        <w:jc w:val="both"/>
      </w:pPr>
      <w:r>
        <w:t>A cleat used to secure a cord must be installed at least 1,600 mm above floor level.</w:t>
      </w:r>
    </w:p>
    <w:p w:rsidR="00A426CA" w:rsidRPr="009110BF" w:rsidRDefault="00A426CA" w:rsidP="009110BF">
      <w:pPr>
        <w:pStyle w:val="Heading3"/>
      </w:pPr>
      <w:bookmarkStart w:id="15" w:name="_Toc360026208"/>
      <w:r w:rsidRPr="009110BF">
        <w:t>Labelling requirements</w:t>
      </w:r>
      <w:bookmarkEnd w:id="15"/>
    </w:p>
    <w:p w:rsidR="00A426CA" w:rsidRPr="005A6AF7" w:rsidRDefault="00A426CA" w:rsidP="00DA44A4">
      <w:pPr>
        <w:numPr>
          <w:ilvl w:val="0"/>
          <w:numId w:val="4"/>
        </w:numPr>
        <w:tabs>
          <w:tab w:val="clear" w:pos="720"/>
          <w:tab w:val="num" w:pos="900"/>
        </w:tabs>
        <w:spacing w:before="120" w:line="240" w:lineRule="atLeast"/>
        <w:ind w:left="896" w:hanging="357"/>
        <w:jc w:val="both"/>
      </w:pPr>
      <w:r>
        <w:t xml:space="preserve">A person installing a corded internal window covering must attach a label to the covering containing the name </w:t>
      </w:r>
      <w:r w:rsidRPr="00DA44A4">
        <w:rPr>
          <w:u w:val="single"/>
        </w:rPr>
        <w:t>and</w:t>
      </w:r>
      <w:r>
        <w:t xml:space="preserve"> contact details of the person or company responsible for the installation </w:t>
      </w:r>
      <w:r w:rsidRPr="00DA44A4">
        <w:t>and</w:t>
      </w:r>
      <w:r>
        <w:t xml:space="preserve"> ensure that any warning label or swing tag supplied with the covering remains attached to the cord.</w:t>
      </w:r>
      <w:r w:rsidRPr="005A6AF7">
        <w:t xml:space="preserve"> </w:t>
      </w:r>
    </w:p>
    <w:p w:rsidR="00264D2A" w:rsidRPr="009110BF" w:rsidRDefault="00264D2A" w:rsidP="009110BF">
      <w:pPr>
        <w:pStyle w:val="Heading3"/>
      </w:pPr>
      <w:bookmarkStart w:id="16" w:name="_Toc360026209"/>
      <w:r w:rsidRPr="009110BF">
        <w:t>Penalties</w:t>
      </w:r>
      <w:bookmarkEnd w:id="16"/>
    </w:p>
    <w:p w:rsidR="00264D2A" w:rsidRPr="005A6AF7" w:rsidRDefault="009110BF" w:rsidP="00DA44A4">
      <w:pPr>
        <w:numPr>
          <w:ilvl w:val="0"/>
          <w:numId w:val="4"/>
        </w:numPr>
        <w:tabs>
          <w:tab w:val="clear" w:pos="720"/>
          <w:tab w:val="num" w:pos="900"/>
        </w:tabs>
        <w:spacing w:before="120" w:line="240" w:lineRule="atLeast"/>
        <w:ind w:left="896" w:hanging="357"/>
        <w:jc w:val="both"/>
      </w:pPr>
      <w:r>
        <w:t xml:space="preserve">The penalties for non-compliance are up to </w:t>
      </w:r>
      <w:r w:rsidR="00FC6087">
        <w:t xml:space="preserve">$1,100,000 </w:t>
      </w:r>
      <w:r>
        <w:t xml:space="preserve">for corporations and </w:t>
      </w:r>
      <w:r w:rsidR="00FC6087">
        <w:t>$220,000</w:t>
      </w:r>
      <w:r>
        <w:t xml:space="preserve"> for individuals</w:t>
      </w:r>
      <w:r w:rsidR="00FC6087">
        <w:t>.</w:t>
      </w:r>
    </w:p>
    <w:p w:rsidR="009110BF" w:rsidRDefault="009110BF" w:rsidP="009110BF">
      <w:pPr>
        <w:pStyle w:val="Heading3"/>
      </w:pPr>
      <w:bookmarkStart w:id="17" w:name="_Toc360026210"/>
      <w:r>
        <w:t>Supporting activities</w:t>
      </w:r>
      <w:bookmarkEnd w:id="17"/>
    </w:p>
    <w:p w:rsidR="005A6AF7" w:rsidRPr="009110BF" w:rsidRDefault="009110BF" w:rsidP="00DA44A4">
      <w:pPr>
        <w:numPr>
          <w:ilvl w:val="0"/>
          <w:numId w:val="4"/>
        </w:numPr>
        <w:tabs>
          <w:tab w:val="clear" w:pos="720"/>
          <w:tab w:val="num" w:pos="900"/>
        </w:tabs>
        <w:spacing w:before="120" w:line="240" w:lineRule="atLeast"/>
        <w:ind w:left="896" w:hanging="357"/>
        <w:jc w:val="both"/>
      </w:pPr>
      <w:r>
        <w:t xml:space="preserve">The ACCC proposes to develop and implement </w:t>
      </w:r>
      <w:r w:rsidR="000B2F97">
        <w:t xml:space="preserve">a compliance and education </w:t>
      </w:r>
      <w:r>
        <w:t>program to complement this regulation.</w:t>
      </w:r>
    </w:p>
    <w:p w:rsidR="00EF656E" w:rsidRDefault="00EF656E" w:rsidP="00EF656E">
      <w:pPr>
        <w:pStyle w:val="Heading1"/>
      </w:pPr>
      <w:bookmarkStart w:id="18" w:name="_Toc360026211"/>
      <w:r>
        <w:t>Anticipated impact on industry</w:t>
      </w:r>
      <w:bookmarkEnd w:id="18"/>
      <w:r>
        <w:t xml:space="preserve"> </w:t>
      </w:r>
    </w:p>
    <w:p w:rsidR="00EF656E" w:rsidRDefault="00EF656E" w:rsidP="00EF656E">
      <w:pPr>
        <w:pStyle w:val="ListParagraph"/>
        <w:ind w:left="0"/>
      </w:pPr>
    </w:p>
    <w:p w:rsidR="00EF656E" w:rsidRPr="00D7355C" w:rsidRDefault="00EF656E" w:rsidP="00DA44A4">
      <w:r w:rsidRPr="00D7355C">
        <w:t xml:space="preserve">Anecdotal feedback to the ACCC from industry is that most installations are undertaken by experienced contractors in a manner consistent with the information provided in the supply standard (which would therefore be consistent with the requirements of any services standard). </w:t>
      </w:r>
    </w:p>
    <w:p w:rsidR="00EF656E" w:rsidRDefault="00EF656E" w:rsidP="00EF656E">
      <w:pPr>
        <w:pStyle w:val="ListParagraph"/>
      </w:pPr>
    </w:p>
    <w:p w:rsidR="00EF656E" w:rsidRDefault="00EF656E" w:rsidP="00DA44A4">
      <w:r w:rsidRPr="00D7355C">
        <w:t>However the ACCC believes that there continue to be some CIWC installations which are inconsistent with the advice in the supply standard and are therefore potentially hazardous. It is unclear what proportion of installations falls into this category.</w:t>
      </w:r>
    </w:p>
    <w:p w:rsidR="00EF656E" w:rsidRPr="00D7355C" w:rsidRDefault="00EF656E" w:rsidP="00EF656E">
      <w:pPr>
        <w:ind w:left="360"/>
      </w:pPr>
    </w:p>
    <w:p w:rsidR="00EF656E" w:rsidRDefault="00EF656E" w:rsidP="00DA44A4">
      <w:r>
        <w:t>A</w:t>
      </w:r>
      <w:r w:rsidRPr="00D7355C">
        <w:t>n investigation into CIWC installation in</w:t>
      </w:r>
      <w:r>
        <w:t xml:space="preserve"> </w:t>
      </w:r>
      <w:r w:rsidRPr="00D7355C">
        <w:t xml:space="preserve">Western Australia </w:t>
      </w:r>
      <w:r>
        <w:t xml:space="preserve">in </w:t>
      </w:r>
      <w:r w:rsidR="00E02EAA">
        <w:t>2008</w:t>
      </w:r>
      <w:r>
        <w:t xml:space="preserve"> </w:t>
      </w:r>
      <w:r w:rsidRPr="00D7355C">
        <w:t xml:space="preserve">found that one in five installations </w:t>
      </w:r>
      <w:r w:rsidR="00E02EAA">
        <w:t xml:space="preserve">that were the subject of consumer complaint </w:t>
      </w:r>
      <w:r w:rsidRPr="00D7355C">
        <w:t>were unsafe</w:t>
      </w:r>
      <w:r w:rsidR="00E02EAA">
        <w:t>ly installed</w:t>
      </w:r>
      <w:r>
        <w:t>—that is, they were installed in a way that was inconsistent with the installation advice required to be supplied with the product.</w:t>
      </w:r>
    </w:p>
    <w:p w:rsidR="00DA44A4" w:rsidRPr="00D7355C" w:rsidRDefault="00DA44A4" w:rsidP="00DA44A4"/>
    <w:p w:rsidR="00884C33" w:rsidRPr="005A6AF7" w:rsidRDefault="00DB32DE" w:rsidP="007C4367">
      <w:pPr>
        <w:pStyle w:val="Heading1"/>
      </w:pPr>
      <w:bookmarkStart w:id="19" w:name="_Toc360026212"/>
      <w:r>
        <w:t>T</w:t>
      </w:r>
      <w:r w:rsidR="007C4367">
        <w:t>iming</w:t>
      </w:r>
      <w:bookmarkEnd w:id="19"/>
    </w:p>
    <w:p w:rsidR="00303779" w:rsidRDefault="00DA44A4" w:rsidP="00DA44A4">
      <w:r>
        <w:t>A</w:t>
      </w:r>
      <w:r w:rsidRPr="005A6AF7">
        <w:t xml:space="preserve"> Regulation could be </w:t>
      </w:r>
      <w:r>
        <w:t xml:space="preserve">available to register in late </w:t>
      </w:r>
      <w:r w:rsidRPr="005A6AF7">
        <w:t>201</w:t>
      </w:r>
      <w:r>
        <w:t xml:space="preserve">3, to take effect from </w:t>
      </w:r>
      <w:r w:rsidR="00D71A56">
        <w:t xml:space="preserve">1 January </w:t>
      </w:r>
      <w:proofErr w:type="gramStart"/>
      <w:r w:rsidR="00D71A56">
        <w:t xml:space="preserve">2014 </w:t>
      </w:r>
      <w:r>
        <w:t>,</w:t>
      </w:r>
      <w:proofErr w:type="gramEnd"/>
      <w:r>
        <w:t xml:space="preserve"> because:</w:t>
      </w:r>
    </w:p>
    <w:p w:rsidR="00303779" w:rsidRDefault="00303779" w:rsidP="00DA44A4">
      <w:pPr>
        <w:numPr>
          <w:ilvl w:val="0"/>
          <w:numId w:val="4"/>
        </w:numPr>
        <w:tabs>
          <w:tab w:val="clear" w:pos="720"/>
          <w:tab w:val="num" w:pos="900"/>
        </w:tabs>
        <w:spacing w:before="120" w:line="240" w:lineRule="atLeast"/>
        <w:ind w:left="896" w:hanging="357"/>
        <w:jc w:val="both"/>
      </w:pPr>
      <w:r>
        <w:t xml:space="preserve">the terms of the </w:t>
      </w:r>
      <w:r w:rsidR="00F04618">
        <w:t>services</w:t>
      </w:r>
      <w:r>
        <w:t xml:space="preserve"> standard are consistent with the existing supply standard</w:t>
      </w:r>
      <w:r w:rsidR="00DA44A4">
        <w:t>;</w:t>
      </w:r>
      <w:r>
        <w:t xml:space="preserve"> </w:t>
      </w:r>
    </w:p>
    <w:p w:rsidR="00303779" w:rsidRDefault="00303779" w:rsidP="00DA44A4">
      <w:pPr>
        <w:numPr>
          <w:ilvl w:val="0"/>
          <w:numId w:val="4"/>
        </w:numPr>
        <w:tabs>
          <w:tab w:val="clear" w:pos="720"/>
          <w:tab w:val="num" w:pos="900"/>
        </w:tabs>
        <w:spacing w:before="120" w:line="240" w:lineRule="atLeast"/>
        <w:ind w:left="896" w:hanging="357"/>
        <w:jc w:val="both"/>
      </w:pPr>
      <w:r>
        <w:t xml:space="preserve">the ACCC understands that there is </w:t>
      </w:r>
      <w:r w:rsidR="00DA44A4">
        <w:t xml:space="preserve">already </w:t>
      </w:r>
      <w:r>
        <w:t xml:space="preserve">substantial </w:t>
      </w:r>
      <w:r w:rsidRPr="005A6AF7">
        <w:t xml:space="preserve">industry compliance with the </w:t>
      </w:r>
      <w:r>
        <w:t xml:space="preserve">proposed </w:t>
      </w:r>
      <w:r w:rsidRPr="005A6AF7">
        <w:t xml:space="preserve">terms of a </w:t>
      </w:r>
      <w:r w:rsidR="00F04618">
        <w:t>services</w:t>
      </w:r>
      <w:r w:rsidRPr="005A6AF7">
        <w:t xml:space="preserve"> standard</w:t>
      </w:r>
      <w:r w:rsidR="00DA44A4">
        <w:t>; and</w:t>
      </w:r>
      <w:r>
        <w:t xml:space="preserve"> </w:t>
      </w:r>
    </w:p>
    <w:p w:rsidR="00303779" w:rsidRDefault="00716960" w:rsidP="00DA44A4">
      <w:pPr>
        <w:numPr>
          <w:ilvl w:val="0"/>
          <w:numId w:val="4"/>
        </w:numPr>
        <w:tabs>
          <w:tab w:val="clear" w:pos="720"/>
          <w:tab w:val="num" w:pos="900"/>
        </w:tabs>
        <w:spacing w:before="120" w:line="240" w:lineRule="atLeast"/>
        <w:ind w:left="896" w:hanging="357"/>
        <w:jc w:val="both"/>
      </w:pPr>
      <w:r w:rsidRPr="005A6AF7">
        <w:t>the requirement</w:t>
      </w:r>
      <w:r w:rsidR="00264D2A">
        <w:t>s</w:t>
      </w:r>
      <w:r w:rsidRPr="005A6AF7">
        <w:t xml:space="preserve"> would only apply to new installations</w:t>
      </w:r>
      <w:r w:rsidR="00DA44A4">
        <w:t>.</w:t>
      </w:r>
    </w:p>
    <w:p w:rsidR="00303779" w:rsidRDefault="00303779" w:rsidP="00303779"/>
    <w:p w:rsidR="00303779" w:rsidRDefault="00303779" w:rsidP="00303779">
      <w:pPr>
        <w:ind w:left="1080"/>
      </w:pPr>
    </w:p>
    <w:p w:rsidR="00DB32DE" w:rsidRPr="005A6AF7" w:rsidRDefault="00DB32DE" w:rsidP="00DB32DE">
      <w:pPr>
        <w:ind w:left="360"/>
      </w:pPr>
    </w:p>
    <w:p w:rsidR="005A6AF7" w:rsidRDefault="005A6AF7" w:rsidP="000818FE">
      <w:pPr>
        <w:rPr>
          <w:rFonts w:ascii="Arial" w:hAnsi="Arial" w:cs="Arial"/>
          <w:b/>
          <w:sz w:val="32"/>
          <w:szCs w:val="32"/>
        </w:rPr>
      </w:pPr>
    </w:p>
    <w:p w:rsidR="00093355" w:rsidRDefault="007C4367" w:rsidP="00A33709">
      <w:pPr>
        <w:ind w:left="360"/>
      </w:pPr>
      <w:r>
        <w:br w:type="page"/>
      </w:r>
    </w:p>
    <w:p w:rsidR="00AE2505" w:rsidRDefault="00A61A63" w:rsidP="00AE2505">
      <w:pPr>
        <w:ind w:left="360"/>
      </w:pPr>
      <w:r>
        <w:pict>
          <v:shape id="_x0000_i1026" type="#_x0000_t75" style="width:269.25pt;height:82.5pt">
            <v:imagedata r:id="rId9" o:title="ACCC-logo-BW"/>
          </v:shape>
        </w:pict>
      </w:r>
    </w:p>
    <w:p w:rsidR="00AE2505" w:rsidRDefault="00AE2505" w:rsidP="00F85FAD">
      <w:pPr>
        <w:ind w:left="360"/>
        <w:jc w:val="center"/>
      </w:pPr>
    </w:p>
    <w:p w:rsidR="00F85FAD" w:rsidRDefault="00F85FAD" w:rsidP="00F85FAD">
      <w:pPr>
        <w:ind w:left="360"/>
        <w:jc w:val="center"/>
      </w:pPr>
      <w:r>
        <w:t>DRAFT ONLY</w:t>
      </w:r>
    </w:p>
    <w:p w:rsidR="002E541C" w:rsidRDefault="002E541C" w:rsidP="00F85FAD">
      <w:pPr>
        <w:ind w:left="360"/>
        <w:jc w:val="center"/>
        <w:rPr>
          <w:b/>
        </w:rPr>
      </w:pPr>
    </w:p>
    <w:p w:rsidR="00F85FAD" w:rsidRDefault="00093355" w:rsidP="00F85FAD">
      <w:pPr>
        <w:ind w:left="360"/>
        <w:jc w:val="center"/>
        <w:rPr>
          <w:b/>
        </w:rPr>
      </w:pPr>
      <w:r w:rsidRPr="00F85FAD">
        <w:rPr>
          <w:b/>
        </w:rPr>
        <w:t xml:space="preserve">Competition and Consumer (Corded Internal Window Coverings) </w:t>
      </w:r>
    </w:p>
    <w:p w:rsidR="00093355" w:rsidRPr="00F85FAD" w:rsidRDefault="00093355" w:rsidP="00F85FAD">
      <w:pPr>
        <w:ind w:left="360"/>
        <w:jc w:val="center"/>
        <w:rPr>
          <w:b/>
        </w:rPr>
      </w:pPr>
      <w:r w:rsidRPr="00F85FAD">
        <w:rPr>
          <w:b/>
        </w:rPr>
        <w:t>Safety</w:t>
      </w:r>
      <w:r w:rsidR="00F85FAD">
        <w:rPr>
          <w:b/>
        </w:rPr>
        <w:t xml:space="preserve"> </w:t>
      </w:r>
      <w:r w:rsidRPr="00F85FAD">
        <w:rPr>
          <w:b/>
        </w:rPr>
        <w:t>Standard 2012</w:t>
      </w:r>
    </w:p>
    <w:p w:rsidR="00093355" w:rsidRDefault="00093355" w:rsidP="00093355">
      <w:pPr>
        <w:ind w:left="360"/>
      </w:pPr>
    </w:p>
    <w:p w:rsidR="00093355" w:rsidRPr="002E541C" w:rsidRDefault="00093355" w:rsidP="00093355">
      <w:pPr>
        <w:pBdr>
          <w:bottom w:val="single" w:sz="12" w:space="1" w:color="auto"/>
        </w:pBdr>
        <w:ind w:left="360"/>
        <w:rPr>
          <w:i/>
        </w:rPr>
      </w:pPr>
      <w:r w:rsidRPr="002E541C">
        <w:rPr>
          <w:i/>
        </w:rPr>
        <w:t xml:space="preserve">Competition and Consumer Act 2010 </w:t>
      </w:r>
    </w:p>
    <w:p w:rsidR="002E541C" w:rsidRDefault="002E541C" w:rsidP="00093355">
      <w:pPr>
        <w:ind w:left="360"/>
      </w:pPr>
    </w:p>
    <w:p w:rsidR="00093355" w:rsidRDefault="00093355" w:rsidP="00093355">
      <w:pPr>
        <w:ind w:left="360"/>
      </w:pPr>
      <w:r>
        <w:t xml:space="preserve">I, David Bradbury, Assistant Treasurer, make the following safety standard under </w:t>
      </w:r>
    </w:p>
    <w:p w:rsidR="00093355" w:rsidRDefault="00093355" w:rsidP="00093355">
      <w:pPr>
        <w:ind w:left="360"/>
      </w:pPr>
      <w:r>
        <w:t xml:space="preserve">subsection 104 (1) of the Australian Consumer Law, set out in Schedule 2 to the </w:t>
      </w:r>
    </w:p>
    <w:p w:rsidR="00093355" w:rsidRDefault="00093355" w:rsidP="00093355">
      <w:pPr>
        <w:ind w:left="360"/>
      </w:pPr>
      <w:r>
        <w:t xml:space="preserve">Competition and Consumer Act 2010. </w:t>
      </w:r>
    </w:p>
    <w:p w:rsidR="00093355" w:rsidRDefault="00093355" w:rsidP="00093355">
      <w:pPr>
        <w:ind w:left="360"/>
      </w:pPr>
    </w:p>
    <w:p w:rsidR="00093355" w:rsidRDefault="00093355" w:rsidP="00093355">
      <w:pPr>
        <w:ind w:left="360"/>
      </w:pPr>
      <w:r>
        <w:t>(</w:t>
      </w:r>
      <w:r w:rsidR="00F85FAD">
        <w:t>Date</w:t>
      </w:r>
      <w:r w:rsidR="002E541C">
        <w:t>d</w:t>
      </w:r>
      <w:r>
        <w:t xml:space="preserve">) </w:t>
      </w:r>
    </w:p>
    <w:p w:rsidR="00093355" w:rsidRDefault="00F85FAD" w:rsidP="00093355">
      <w:pPr>
        <w:pBdr>
          <w:bottom w:val="single" w:sz="12" w:space="1" w:color="auto"/>
        </w:pBdr>
        <w:ind w:left="360"/>
      </w:pPr>
      <w:r>
        <w:t xml:space="preserve">(Signature) </w:t>
      </w:r>
      <w:r w:rsidR="00093355">
        <w:t xml:space="preserve">Assistant Treasurer </w:t>
      </w:r>
    </w:p>
    <w:p w:rsidR="002E541C" w:rsidRDefault="002E541C" w:rsidP="00093355">
      <w:pPr>
        <w:ind w:left="360"/>
      </w:pPr>
    </w:p>
    <w:p w:rsidR="00093355" w:rsidRDefault="00093355" w:rsidP="00093355">
      <w:pPr>
        <w:ind w:left="360"/>
      </w:pPr>
    </w:p>
    <w:p w:rsidR="00093355" w:rsidRPr="00093355" w:rsidRDefault="00093355" w:rsidP="00093355">
      <w:pPr>
        <w:ind w:left="360"/>
        <w:rPr>
          <w:b/>
        </w:rPr>
      </w:pPr>
      <w:r w:rsidRPr="00093355">
        <w:rPr>
          <w:b/>
        </w:rPr>
        <w:t xml:space="preserve">1. </w:t>
      </w:r>
      <w:r>
        <w:rPr>
          <w:b/>
        </w:rPr>
        <w:t xml:space="preserve">  </w:t>
      </w:r>
      <w:r w:rsidRPr="00093355">
        <w:rPr>
          <w:b/>
        </w:rPr>
        <w:t xml:space="preserve">Name of safety standard </w:t>
      </w:r>
    </w:p>
    <w:p w:rsidR="00093355" w:rsidRDefault="00093355" w:rsidP="00093355">
      <w:pPr>
        <w:ind w:left="360"/>
      </w:pPr>
    </w:p>
    <w:p w:rsidR="00093355" w:rsidRDefault="00093355" w:rsidP="00093355">
      <w:pPr>
        <w:ind w:left="360"/>
      </w:pPr>
      <w:r>
        <w:t xml:space="preserve"> This safety standard is the Competition and Consumer (Corded Internal </w:t>
      </w:r>
    </w:p>
    <w:p w:rsidR="00093355" w:rsidRDefault="00093355" w:rsidP="00093355">
      <w:pPr>
        <w:ind w:left="360"/>
      </w:pPr>
      <w:r>
        <w:t xml:space="preserve">Window Coverings) Safety Standard 2012. </w:t>
      </w:r>
    </w:p>
    <w:p w:rsidR="00093355" w:rsidRDefault="00093355" w:rsidP="00093355">
      <w:pPr>
        <w:ind w:left="360"/>
      </w:pPr>
    </w:p>
    <w:p w:rsidR="00093355" w:rsidRPr="00093355" w:rsidRDefault="00093355" w:rsidP="00093355">
      <w:pPr>
        <w:numPr>
          <w:ilvl w:val="0"/>
          <w:numId w:val="2"/>
        </w:numPr>
        <w:rPr>
          <w:b/>
        </w:rPr>
      </w:pPr>
      <w:r w:rsidRPr="00093355">
        <w:rPr>
          <w:b/>
        </w:rPr>
        <w:t xml:space="preserve"> Commencement </w:t>
      </w:r>
    </w:p>
    <w:p w:rsidR="00093355" w:rsidRDefault="00093355" w:rsidP="00093355">
      <w:pPr>
        <w:ind w:left="360"/>
      </w:pPr>
    </w:p>
    <w:p w:rsidR="00093355" w:rsidRDefault="00093355" w:rsidP="00093355">
      <w:pPr>
        <w:ind w:left="360"/>
      </w:pPr>
      <w:r>
        <w:t xml:space="preserve"> This safety standard commences on the day after it is registered. </w:t>
      </w:r>
    </w:p>
    <w:p w:rsidR="00093355" w:rsidRDefault="00093355" w:rsidP="00093355">
      <w:pPr>
        <w:ind w:left="360"/>
      </w:pPr>
    </w:p>
    <w:p w:rsidR="00093355" w:rsidRPr="00093355" w:rsidRDefault="00093355" w:rsidP="00093355">
      <w:pPr>
        <w:numPr>
          <w:ilvl w:val="0"/>
          <w:numId w:val="2"/>
        </w:numPr>
        <w:rPr>
          <w:b/>
        </w:rPr>
      </w:pPr>
      <w:r w:rsidRPr="00093355">
        <w:rPr>
          <w:b/>
        </w:rPr>
        <w:t xml:space="preserve">Purpose </w:t>
      </w:r>
    </w:p>
    <w:p w:rsidR="00093355" w:rsidRDefault="00093355" w:rsidP="00093355">
      <w:pPr>
        <w:ind w:left="360"/>
      </w:pPr>
    </w:p>
    <w:p w:rsidR="00093355" w:rsidRDefault="00093355" w:rsidP="00093355">
      <w:pPr>
        <w:ind w:left="360"/>
      </w:pPr>
      <w:r>
        <w:t xml:space="preserve"> This safety standard sets out mandatory installation requirements for corded </w:t>
      </w:r>
    </w:p>
    <w:p w:rsidR="00093355" w:rsidRDefault="00093355" w:rsidP="00093355">
      <w:pPr>
        <w:ind w:left="360"/>
      </w:pPr>
      <w:r>
        <w:t xml:space="preserve">internal window coverings. </w:t>
      </w:r>
    </w:p>
    <w:p w:rsidR="00093355" w:rsidRDefault="00093355" w:rsidP="00093355">
      <w:pPr>
        <w:ind w:left="360"/>
      </w:pPr>
    </w:p>
    <w:p w:rsidR="00093355" w:rsidRPr="00093355" w:rsidRDefault="00093355" w:rsidP="00093355">
      <w:pPr>
        <w:numPr>
          <w:ilvl w:val="0"/>
          <w:numId w:val="2"/>
        </w:numPr>
        <w:rPr>
          <w:b/>
        </w:rPr>
      </w:pPr>
      <w:r w:rsidRPr="00093355">
        <w:rPr>
          <w:b/>
        </w:rPr>
        <w:t xml:space="preserve"> Application </w:t>
      </w:r>
    </w:p>
    <w:p w:rsidR="00093355" w:rsidRDefault="00093355" w:rsidP="00093355">
      <w:pPr>
        <w:ind w:left="360"/>
      </w:pPr>
    </w:p>
    <w:p w:rsidR="00093355" w:rsidRDefault="00093355" w:rsidP="00093355">
      <w:pPr>
        <w:ind w:left="360"/>
      </w:pPr>
      <w:r>
        <w:t xml:space="preserve"> This safety standard applies to the installation of corded internal window </w:t>
      </w:r>
    </w:p>
    <w:p w:rsidR="00093355" w:rsidRDefault="00093355" w:rsidP="00093355">
      <w:pPr>
        <w:ind w:left="360"/>
      </w:pPr>
      <w:r>
        <w:t xml:space="preserve">coverings in domestic dwellings other than: </w:t>
      </w:r>
    </w:p>
    <w:p w:rsidR="00093355" w:rsidRDefault="00093355" w:rsidP="00093355">
      <w:pPr>
        <w:ind w:left="360"/>
      </w:pPr>
    </w:p>
    <w:p w:rsidR="00093355" w:rsidRDefault="00093355" w:rsidP="00093355">
      <w:pPr>
        <w:ind w:left="360"/>
      </w:pPr>
      <w:r>
        <w:t xml:space="preserve"> (a) caravans; and </w:t>
      </w:r>
    </w:p>
    <w:p w:rsidR="00093355" w:rsidRDefault="00093355" w:rsidP="00093355">
      <w:pPr>
        <w:ind w:left="360"/>
      </w:pPr>
    </w:p>
    <w:p w:rsidR="00093355" w:rsidRDefault="00093355" w:rsidP="00093355">
      <w:pPr>
        <w:ind w:left="360"/>
      </w:pPr>
      <w:r>
        <w:t xml:space="preserve"> (b) mobile homes; and </w:t>
      </w:r>
    </w:p>
    <w:p w:rsidR="00093355" w:rsidRDefault="00093355" w:rsidP="00093355">
      <w:pPr>
        <w:ind w:left="360"/>
      </w:pPr>
    </w:p>
    <w:p w:rsidR="00093355" w:rsidRDefault="00093355" w:rsidP="00093355">
      <w:pPr>
        <w:ind w:left="360"/>
      </w:pPr>
      <w:r>
        <w:t xml:space="preserve"> (c) boats. </w:t>
      </w:r>
    </w:p>
    <w:p w:rsidR="00093355" w:rsidRDefault="00093355" w:rsidP="00093355">
      <w:pPr>
        <w:ind w:left="360"/>
      </w:pPr>
    </w:p>
    <w:p w:rsidR="00093355" w:rsidRPr="00093355" w:rsidRDefault="00093355" w:rsidP="00093355">
      <w:pPr>
        <w:numPr>
          <w:ilvl w:val="0"/>
          <w:numId w:val="2"/>
        </w:numPr>
        <w:rPr>
          <w:b/>
        </w:rPr>
      </w:pPr>
      <w:r w:rsidRPr="00093355">
        <w:rPr>
          <w:b/>
        </w:rPr>
        <w:t xml:space="preserve"> Definitions </w:t>
      </w:r>
    </w:p>
    <w:p w:rsidR="00093355" w:rsidRDefault="00093355" w:rsidP="00093355">
      <w:pPr>
        <w:ind w:left="360"/>
      </w:pPr>
    </w:p>
    <w:p w:rsidR="00093355" w:rsidRDefault="00093355" w:rsidP="00093355">
      <w:pPr>
        <w:ind w:left="360"/>
      </w:pPr>
      <w:r>
        <w:t xml:space="preserve"> In this safety standard: </w:t>
      </w:r>
    </w:p>
    <w:p w:rsidR="00093355" w:rsidRDefault="00093355" w:rsidP="00093355">
      <w:pPr>
        <w:ind w:left="360"/>
      </w:pPr>
    </w:p>
    <w:p w:rsidR="00093355" w:rsidRDefault="00093355" w:rsidP="00093355">
      <w:pPr>
        <w:ind w:left="360"/>
      </w:pPr>
      <w:r w:rsidRPr="00093355">
        <w:rPr>
          <w:i/>
        </w:rPr>
        <w:t>cleat</w:t>
      </w:r>
      <w:r>
        <w:t xml:space="preserve"> means a device that has a bar with arms around which a cord can be </w:t>
      </w:r>
    </w:p>
    <w:p w:rsidR="00093355" w:rsidRDefault="00093355" w:rsidP="00093355">
      <w:pPr>
        <w:ind w:left="360"/>
      </w:pPr>
      <w:r>
        <w:t xml:space="preserve">wound, and that can be attached to a wall or other structure. </w:t>
      </w:r>
    </w:p>
    <w:p w:rsidR="00093355" w:rsidRDefault="00093355" w:rsidP="00093355">
      <w:pPr>
        <w:ind w:left="360"/>
      </w:pPr>
    </w:p>
    <w:p w:rsidR="00093355" w:rsidRDefault="00093355" w:rsidP="00093355">
      <w:pPr>
        <w:ind w:left="360"/>
      </w:pPr>
      <w:r w:rsidRPr="00093355">
        <w:rPr>
          <w:i/>
        </w:rPr>
        <w:t>cord</w:t>
      </w:r>
      <w:r>
        <w:t xml:space="preserve"> means a rope, strap, string, chain, line or wire used to manipulate a </w:t>
      </w:r>
    </w:p>
    <w:p w:rsidR="00093355" w:rsidRDefault="00093355" w:rsidP="00093355">
      <w:pPr>
        <w:ind w:left="360"/>
      </w:pPr>
      <w:r>
        <w:t xml:space="preserve">corded internal window covering. </w:t>
      </w:r>
    </w:p>
    <w:p w:rsidR="00093355" w:rsidRDefault="00093355" w:rsidP="00093355">
      <w:pPr>
        <w:ind w:left="360"/>
      </w:pPr>
    </w:p>
    <w:p w:rsidR="00093355" w:rsidRDefault="00093355" w:rsidP="00093355">
      <w:pPr>
        <w:ind w:left="360"/>
      </w:pPr>
      <w:r w:rsidRPr="00093355">
        <w:rPr>
          <w:i/>
        </w:rPr>
        <w:t>corded internal window covering</w:t>
      </w:r>
      <w:r>
        <w:t xml:space="preserve"> means any of the following, that can be </w:t>
      </w:r>
    </w:p>
    <w:p w:rsidR="00093355" w:rsidRDefault="00093355" w:rsidP="00093355">
      <w:pPr>
        <w:ind w:left="360"/>
      </w:pPr>
      <w:r>
        <w:t xml:space="preserve">used inside a building and has a cord: </w:t>
      </w:r>
    </w:p>
    <w:p w:rsidR="00093355" w:rsidRDefault="00093355" w:rsidP="00093355">
      <w:pPr>
        <w:ind w:left="360"/>
      </w:pPr>
    </w:p>
    <w:p w:rsidR="00093355" w:rsidRDefault="00093355" w:rsidP="00093355">
      <w:pPr>
        <w:ind w:left="360"/>
      </w:pPr>
      <w:r>
        <w:t xml:space="preserve"> (a) a window covering, such as a curtain or blind; </w:t>
      </w:r>
    </w:p>
    <w:p w:rsidR="00093355" w:rsidRDefault="00093355" w:rsidP="00093355">
      <w:pPr>
        <w:ind w:left="360"/>
      </w:pPr>
    </w:p>
    <w:p w:rsidR="00093355" w:rsidRDefault="00093355" w:rsidP="00093355">
      <w:pPr>
        <w:ind w:left="360"/>
      </w:pPr>
      <w:r>
        <w:t xml:space="preserve"> (b) fittings used with a window covering, such as a traverse rod or track. </w:t>
      </w:r>
    </w:p>
    <w:p w:rsidR="00093355" w:rsidRDefault="00093355" w:rsidP="00093355">
      <w:pPr>
        <w:ind w:left="360"/>
      </w:pPr>
    </w:p>
    <w:p w:rsidR="00093355" w:rsidRDefault="00093355" w:rsidP="00093355">
      <w:pPr>
        <w:ind w:left="360"/>
      </w:pPr>
      <w:r w:rsidRPr="00F85FAD">
        <w:rPr>
          <w:i/>
        </w:rPr>
        <w:t>cord guide</w:t>
      </w:r>
      <w:r>
        <w:t xml:space="preserve"> means a device designed to retract, tension or secure a cord. </w:t>
      </w:r>
    </w:p>
    <w:p w:rsidR="00093355" w:rsidRDefault="00093355" w:rsidP="00093355">
      <w:pPr>
        <w:ind w:left="360"/>
      </w:pPr>
    </w:p>
    <w:p w:rsidR="00093355" w:rsidRDefault="00093355" w:rsidP="00093355">
      <w:pPr>
        <w:ind w:left="360"/>
      </w:pPr>
      <w:r w:rsidRPr="00093355">
        <w:rPr>
          <w:i/>
        </w:rPr>
        <w:t>retail packaging</w:t>
      </w:r>
      <w:r>
        <w:t xml:space="preserve"> means the packaging in which a corded internal window </w:t>
      </w:r>
    </w:p>
    <w:p w:rsidR="00093355" w:rsidRDefault="00093355" w:rsidP="00093355">
      <w:pPr>
        <w:ind w:left="360"/>
      </w:pPr>
      <w:r>
        <w:t xml:space="preserve">covering is supplied when it is offered for retail sale. </w:t>
      </w:r>
    </w:p>
    <w:p w:rsidR="00093355" w:rsidRDefault="00093355" w:rsidP="00093355">
      <w:pPr>
        <w:ind w:left="360"/>
      </w:pPr>
    </w:p>
    <w:p w:rsidR="00093355" w:rsidRDefault="00093355" w:rsidP="00093355">
      <w:pPr>
        <w:ind w:left="360"/>
      </w:pPr>
    </w:p>
    <w:p w:rsidR="00093355" w:rsidRPr="00F85FAD" w:rsidRDefault="00093355" w:rsidP="00F85FAD">
      <w:pPr>
        <w:numPr>
          <w:ilvl w:val="0"/>
          <w:numId w:val="2"/>
        </w:numPr>
        <w:rPr>
          <w:b/>
        </w:rPr>
      </w:pPr>
      <w:r>
        <w:t xml:space="preserve"> </w:t>
      </w:r>
      <w:r w:rsidRPr="00F85FAD">
        <w:rPr>
          <w:b/>
        </w:rPr>
        <w:t xml:space="preserve">Installation of corded internal window coverings </w:t>
      </w:r>
    </w:p>
    <w:p w:rsidR="00093355" w:rsidRDefault="00093355" w:rsidP="00093355">
      <w:pPr>
        <w:ind w:left="360"/>
      </w:pPr>
    </w:p>
    <w:p w:rsidR="00093355" w:rsidRDefault="00093355" w:rsidP="00093355">
      <w:pPr>
        <w:ind w:left="360"/>
      </w:pPr>
      <w:r>
        <w:t xml:space="preserve"> (1) A corded internal window covering must be installed: </w:t>
      </w:r>
    </w:p>
    <w:p w:rsidR="00093355" w:rsidRDefault="00093355" w:rsidP="00093355">
      <w:pPr>
        <w:ind w:left="360"/>
      </w:pPr>
    </w:p>
    <w:p w:rsidR="00093355" w:rsidRDefault="00093355" w:rsidP="00093355">
      <w:pPr>
        <w:ind w:left="360"/>
      </w:pPr>
      <w:r>
        <w:t xml:space="preserve"> </w:t>
      </w:r>
      <w:r w:rsidR="00F85FAD">
        <w:tab/>
      </w:r>
      <w:r>
        <w:t xml:space="preserve">(a) in a way that ensures that a loose cord cannot form a loop 220 mm or </w:t>
      </w:r>
    </w:p>
    <w:p w:rsidR="00093355" w:rsidRDefault="00093355" w:rsidP="00F85FAD">
      <w:pPr>
        <w:ind w:left="360" w:firstLine="360"/>
      </w:pPr>
      <w:r>
        <w:t xml:space="preserve">longer at less than 1,600 mm above floor level; and </w:t>
      </w:r>
    </w:p>
    <w:p w:rsidR="00093355" w:rsidRDefault="00093355" w:rsidP="00093355">
      <w:pPr>
        <w:ind w:left="360"/>
      </w:pPr>
    </w:p>
    <w:p w:rsidR="00093355" w:rsidRDefault="00093355" w:rsidP="00093355">
      <w:pPr>
        <w:ind w:left="360"/>
      </w:pPr>
      <w:r>
        <w:t xml:space="preserve"> </w:t>
      </w:r>
      <w:r w:rsidR="00F85FAD">
        <w:tab/>
      </w:r>
      <w:r>
        <w:t xml:space="preserve">(b) using any components specified in the installation instructions as </w:t>
      </w:r>
    </w:p>
    <w:p w:rsidR="00093355" w:rsidRDefault="00093355" w:rsidP="00F85FAD">
      <w:pPr>
        <w:ind w:left="360" w:firstLine="360"/>
      </w:pPr>
      <w:r>
        <w:t xml:space="preserve">necessary to meet requirements for cord safety. </w:t>
      </w:r>
    </w:p>
    <w:p w:rsidR="00093355" w:rsidRDefault="00093355" w:rsidP="00093355">
      <w:pPr>
        <w:ind w:left="360"/>
      </w:pPr>
    </w:p>
    <w:p w:rsidR="00093355" w:rsidRDefault="00093355" w:rsidP="00093355">
      <w:pPr>
        <w:ind w:left="360"/>
      </w:pPr>
      <w:r>
        <w:t xml:space="preserve"> (2) A corded internal window covering must also be installed in accordance </w:t>
      </w:r>
    </w:p>
    <w:p w:rsidR="00093355" w:rsidRDefault="00093355" w:rsidP="00093355">
      <w:pPr>
        <w:ind w:left="360"/>
      </w:pPr>
      <w:r>
        <w:t xml:space="preserve">with: </w:t>
      </w:r>
    </w:p>
    <w:p w:rsidR="00093355" w:rsidRDefault="00093355" w:rsidP="00093355">
      <w:pPr>
        <w:ind w:left="360"/>
      </w:pPr>
    </w:p>
    <w:p w:rsidR="00093355" w:rsidRDefault="00093355" w:rsidP="00093355">
      <w:pPr>
        <w:ind w:left="360"/>
      </w:pPr>
      <w:r>
        <w:t xml:space="preserve"> </w:t>
      </w:r>
      <w:r w:rsidR="00F85FAD">
        <w:tab/>
      </w:r>
      <w:r>
        <w:t xml:space="preserve">(a) the installation instructions on any retail packaging for the covering; </w:t>
      </w:r>
    </w:p>
    <w:p w:rsidR="00093355" w:rsidRDefault="00093355" w:rsidP="00F85FAD">
      <w:pPr>
        <w:ind w:left="360" w:firstLine="360"/>
      </w:pPr>
      <w:r>
        <w:t xml:space="preserve">and </w:t>
      </w:r>
    </w:p>
    <w:p w:rsidR="00093355" w:rsidRDefault="00093355" w:rsidP="00093355">
      <w:pPr>
        <w:ind w:left="360"/>
      </w:pPr>
    </w:p>
    <w:p w:rsidR="00093355" w:rsidRDefault="00093355" w:rsidP="00F85FAD">
      <w:pPr>
        <w:ind w:left="360" w:firstLine="360"/>
      </w:pPr>
      <w:r>
        <w:t xml:space="preserve"> (b) other information provided in the installation instructions about how to </w:t>
      </w:r>
    </w:p>
    <w:p w:rsidR="00093355" w:rsidRDefault="00093355" w:rsidP="00F85FAD">
      <w:pPr>
        <w:ind w:left="360" w:firstLine="360"/>
      </w:pPr>
      <w:r>
        <w:t xml:space="preserve">install the corded internal window covering for the purpose of ensuring </w:t>
      </w:r>
    </w:p>
    <w:p w:rsidR="00093355" w:rsidRDefault="00093355" w:rsidP="00F85FAD">
      <w:pPr>
        <w:ind w:left="360" w:firstLine="360"/>
      </w:pPr>
      <w:r>
        <w:t xml:space="preserve">that a loose cord cannot form a loop as described in paragraph (1) (a). </w:t>
      </w:r>
    </w:p>
    <w:p w:rsidR="00093355" w:rsidRDefault="00093355" w:rsidP="00093355">
      <w:pPr>
        <w:ind w:left="360"/>
      </w:pPr>
    </w:p>
    <w:p w:rsidR="00093355" w:rsidRDefault="00093355" w:rsidP="00093355">
      <w:pPr>
        <w:ind w:left="360"/>
      </w:pPr>
      <w:r>
        <w:t xml:space="preserve"> (3) No part of a cord guide may be installed lower than 1,600 mm above floor </w:t>
      </w:r>
    </w:p>
    <w:p w:rsidR="00093355" w:rsidRDefault="00093355" w:rsidP="00093355">
      <w:pPr>
        <w:ind w:left="360"/>
      </w:pPr>
      <w:r>
        <w:t xml:space="preserve">level unless: </w:t>
      </w:r>
    </w:p>
    <w:p w:rsidR="00093355" w:rsidRDefault="00093355" w:rsidP="00093355">
      <w:pPr>
        <w:ind w:left="360"/>
      </w:pPr>
    </w:p>
    <w:p w:rsidR="00093355" w:rsidRDefault="00093355" w:rsidP="00093355">
      <w:pPr>
        <w:ind w:left="360"/>
      </w:pPr>
      <w:r>
        <w:t xml:space="preserve"> </w:t>
      </w:r>
      <w:r w:rsidR="00F85FAD">
        <w:tab/>
      </w:r>
      <w:r>
        <w:t xml:space="preserve">(a) the cord guide will remain firmly attached to a wall or other structure </w:t>
      </w:r>
    </w:p>
    <w:p w:rsidR="00093355" w:rsidRDefault="00093355" w:rsidP="00F85FAD">
      <w:pPr>
        <w:ind w:left="360" w:firstLine="360"/>
      </w:pPr>
      <w:r>
        <w:t xml:space="preserve">specified in the installation instructions when subjected to a tension </w:t>
      </w:r>
    </w:p>
    <w:p w:rsidR="00093355" w:rsidRDefault="00093355" w:rsidP="00F85FAD">
      <w:pPr>
        <w:ind w:left="360" w:firstLine="360"/>
      </w:pPr>
      <w:r>
        <w:t xml:space="preserve">force of 70 N applied in any direction for 10 seconds; and </w:t>
      </w:r>
    </w:p>
    <w:p w:rsidR="00093355" w:rsidRDefault="00093355" w:rsidP="00093355">
      <w:pPr>
        <w:ind w:left="360"/>
      </w:pPr>
    </w:p>
    <w:p w:rsidR="00093355" w:rsidRDefault="00093355" w:rsidP="00093355">
      <w:pPr>
        <w:ind w:left="360"/>
      </w:pPr>
      <w:r>
        <w:t xml:space="preserve"> </w:t>
      </w:r>
      <w:r w:rsidR="00F85FAD">
        <w:tab/>
      </w:r>
      <w:r>
        <w:t xml:space="preserve">(b) the cord is sufficiently secured or tensioned to prevent the formation of </w:t>
      </w:r>
    </w:p>
    <w:p w:rsidR="00093355" w:rsidRDefault="00093355" w:rsidP="00093355">
      <w:pPr>
        <w:ind w:left="360"/>
      </w:pPr>
      <w:r>
        <w:t>a loop 220 mm or longer</w:t>
      </w:r>
      <w:r w:rsidR="00F85FAD">
        <w:t>.</w:t>
      </w:r>
      <w:r>
        <w:t xml:space="preserve"> </w:t>
      </w:r>
    </w:p>
    <w:p w:rsidR="00093355" w:rsidRDefault="00093355" w:rsidP="00093355">
      <w:pPr>
        <w:ind w:left="360"/>
      </w:pPr>
    </w:p>
    <w:p w:rsidR="00093355" w:rsidRDefault="00093355" w:rsidP="00093355">
      <w:pPr>
        <w:ind w:left="360"/>
      </w:pPr>
      <w:r>
        <w:t xml:space="preserve">  (4) A cleat used to secure a cord must be installed at least 1,600 mm above </w:t>
      </w:r>
    </w:p>
    <w:p w:rsidR="00093355" w:rsidRDefault="00093355" w:rsidP="00093355">
      <w:pPr>
        <w:ind w:left="360"/>
      </w:pPr>
      <w:r>
        <w:t xml:space="preserve">floor level. </w:t>
      </w:r>
    </w:p>
    <w:p w:rsidR="00093355" w:rsidRDefault="00093355" w:rsidP="00093355">
      <w:pPr>
        <w:ind w:left="360"/>
      </w:pPr>
    </w:p>
    <w:p w:rsidR="00093355" w:rsidRPr="00F85FAD" w:rsidRDefault="00093355" w:rsidP="00F85FAD">
      <w:pPr>
        <w:numPr>
          <w:ilvl w:val="0"/>
          <w:numId w:val="2"/>
        </w:numPr>
        <w:rPr>
          <w:b/>
        </w:rPr>
      </w:pPr>
      <w:r w:rsidRPr="00F85FAD">
        <w:rPr>
          <w:b/>
        </w:rPr>
        <w:t xml:space="preserve"> Labelling requirements </w:t>
      </w:r>
    </w:p>
    <w:p w:rsidR="00093355" w:rsidRDefault="00093355" w:rsidP="00093355">
      <w:pPr>
        <w:ind w:left="360"/>
      </w:pPr>
    </w:p>
    <w:p w:rsidR="00093355" w:rsidRDefault="00F85FAD" w:rsidP="004C54E4">
      <w:pPr>
        <w:numPr>
          <w:ilvl w:val="0"/>
          <w:numId w:val="7"/>
        </w:numPr>
      </w:pPr>
      <w:r>
        <w:t xml:space="preserve"> </w:t>
      </w:r>
      <w:r w:rsidR="00093355">
        <w:t xml:space="preserve">A person installing a corded internal window covering must: </w:t>
      </w:r>
    </w:p>
    <w:p w:rsidR="00093355" w:rsidRDefault="00093355" w:rsidP="00093355">
      <w:pPr>
        <w:ind w:left="360"/>
      </w:pPr>
    </w:p>
    <w:p w:rsidR="00093355" w:rsidRDefault="00093355" w:rsidP="00093355">
      <w:pPr>
        <w:ind w:left="360"/>
      </w:pPr>
      <w:r>
        <w:t xml:space="preserve"> </w:t>
      </w:r>
      <w:r w:rsidR="00F85FAD">
        <w:tab/>
      </w:r>
      <w:r>
        <w:t xml:space="preserve">(a) attach a label to the corded window covering containing the name and </w:t>
      </w:r>
    </w:p>
    <w:p w:rsidR="00093355" w:rsidRDefault="00093355" w:rsidP="00F85FAD">
      <w:pPr>
        <w:ind w:left="360" w:firstLine="360"/>
      </w:pPr>
      <w:r>
        <w:t xml:space="preserve">contact details of the person or company responsible for the </w:t>
      </w:r>
    </w:p>
    <w:p w:rsidR="00093355" w:rsidRDefault="00093355" w:rsidP="00F85FAD">
      <w:pPr>
        <w:ind w:left="360" w:firstLine="360"/>
      </w:pPr>
      <w:r>
        <w:t xml:space="preserve">installation; and </w:t>
      </w:r>
    </w:p>
    <w:p w:rsidR="00093355" w:rsidRDefault="00093355" w:rsidP="00093355">
      <w:pPr>
        <w:ind w:left="360"/>
      </w:pPr>
    </w:p>
    <w:p w:rsidR="00093355" w:rsidRDefault="00093355" w:rsidP="00093355">
      <w:pPr>
        <w:ind w:left="360"/>
      </w:pPr>
      <w:r>
        <w:t xml:space="preserve"> </w:t>
      </w:r>
      <w:r w:rsidR="00F85FAD">
        <w:tab/>
      </w:r>
      <w:r>
        <w:t xml:space="preserve">(b) ensure that any warning label or swing tag supplied with the corded </w:t>
      </w:r>
    </w:p>
    <w:p w:rsidR="00093355" w:rsidRDefault="00093355" w:rsidP="00F85FAD">
      <w:pPr>
        <w:ind w:left="360" w:firstLine="360"/>
      </w:pPr>
      <w:r>
        <w:t xml:space="preserve">internal window covering remains attached to the cord. </w:t>
      </w:r>
    </w:p>
    <w:p w:rsidR="00093355" w:rsidRDefault="00093355" w:rsidP="00093355">
      <w:pPr>
        <w:ind w:left="360"/>
      </w:pPr>
    </w:p>
    <w:p w:rsidR="00093355" w:rsidRDefault="00093355" w:rsidP="00F85FAD">
      <w:pPr>
        <w:ind w:left="360"/>
      </w:pPr>
      <w:r>
        <w:t xml:space="preserve"> </w:t>
      </w:r>
    </w:p>
    <w:p w:rsidR="00093355" w:rsidRDefault="00093355" w:rsidP="00093355">
      <w:pPr>
        <w:ind w:left="360"/>
      </w:pPr>
    </w:p>
    <w:p w:rsidR="00093355" w:rsidRDefault="00093355" w:rsidP="00093355">
      <w:pPr>
        <w:ind w:left="360"/>
      </w:pPr>
      <w:r>
        <w:t xml:space="preserve"> </w:t>
      </w:r>
    </w:p>
    <w:p w:rsidR="00093355" w:rsidRDefault="00093355" w:rsidP="00093355">
      <w:pPr>
        <w:ind w:left="360"/>
      </w:pPr>
    </w:p>
    <w:p w:rsidR="00093355" w:rsidRPr="005A6AF7" w:rsidRDefault="00093355" w:rsidP="00A33709">
      <w:pPr>
        <w:ind w:left="360"/>
        <w:rPr>
          <w:u w:val="single"/>
        </w:rPr>
      </w:pPr>
    </w:p>
    <w:sectPr w:rsidR="00093355" w:rsidRPr="005A6AF7" w:rsidSect="00E52716">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F3" w:rsidRDefault="00A34CF3">
      <w:r>
        <w:separator/>
      </w:r>
    </w:p>
  </w:endnote>
  <w:endnote w:type="continuationSeparator" w:id="0">
    <w:p w:rsidR="00A34CF3" w:rsidRDefault="00A3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F3" w:rsidRPr="00F5702E" w:rsidRDefault="00A34CF3">
    <w:pPr>
      <w:pStyle w:val="Footer"/>
      <w:rPr>
        <w:sz w:val="20"/>
        <w:szCs w:val="20"/>
      </w:rPr>
    </w:pPr>
    <w:r w:rsidRPr="00F5702E">
      <w:rPr>
        <w:sz w:val="20"/>
        <w:szCs w:val="20"/>
      </w:rPr>
      <w:t xml:space="preserve">Page </w:t>
    </w:r>
    <w:r w:rsidRPr="00F5702E">
      <w:rPr>
        <w:b/>
        <w:bCs/>
        <w:sz w:val="20"/>
        <w:szCs w:val="20"/>
      </w:rPr>
      <w:fldChar w:fldCharType="begin"/>
    </w:r>
    <w:r w:rsidRPr="00F5702E">
      <w:rPr>
        <w:b/>
        <w:bCs/>
        <w:sz w:val="20"/>
        <w:szCs w:val="20"/>
      </w:rPr>
      <w:instrText xml:space="preserve"> PAGE </w:instrText>
    </w:r>
    <w:r w:rsidRPr="00F5702E">
      <w:rPr>
        <w:b/>
        <w:bCs/>
        <w:sz w:val="20"/>
        <w:szCs w:val="20"/>
      </w:rPr>
      <w:fldChar w:fldCharType="separate"/>
    </w:r>
    <w:r w:rsidR="00B606C9">
      <w:rPr>
        <w:b/>
        <w:bCs/>
        <w:noProof/>
        <w:sz w:val="20"/>
        <w:szCs w:val="20"/>
      </w:rPr>
      <w:t>15</w:t>
    </w:r>
    <w:r w:rsidRPr="00F5702E">
      <w:rPr>
        <w:b/>
        <w:bCs/>
        <w:sz w:val="20"/>
        <w:szCs w:val="20"/>
      </w:rPr>
      <w:fldChar w:fldCharType="end"/>
    </w:r>
    <w:r w:rsidRPr="00F5702E">
      <w:rPr>
        <w:sz w:val="20"/>
        <w:szCs w:val="20"/>
      </w:rPr>
      <w:t xml:space="preserve"> of </w:t>
    </w:r>
    <w:r w:rsidRPr="00F5702E">
      <w:rPr>
        <w:b/>
        <w:bCs/>
        <w:sz w:val="20"/>
        <w:szCs w:val="20"/>
      </w:rPr>
      <w:fldChar w:fldCharType="begin"/>
    </w:r>
    <w:r w:rsidRPr="00F5702E">
      <w:rPr>
        <w:b/>
        <w:bCs/>
        <w:sz w:val="20"/>
        <w:szCs w:val="20"/>
      </w:rPr>
      <w:instrText xml:space="preserve"> NUMPAGES  </w:instrText>
    </w:r>
    <w:r w:rsidRPr="00F5702E">
      <w:rPr>
        <w:b/>
        <w:bCs/>
        <w:sz w:val="20"/>
        <w:szCs w:val="20"/>
      </w:rPr>
      <w:fldChar w:fldCharType="separate"/>
    </w:r>
    <w:r w:rsidR="00B606C9">
      <w:rPr>
        <w:b/>
        <w:bCs/>
        <w:noProof/>
        <w:sz w:val="20"/>
        <w:szCs w:val="20"/>
      </w:rPr>
      <w:t>17</w:t>
    </w:r>
    <w:r w:rsidRPr="00F5702E">
      <w:rPr>
        <w:b/>
        <w:bCs/>
        <w:sz w:val="20"/>
        <w:szCs w:val="20"/>
      </w:rPr>
      <w:fldChar w:fldCharType="end"/>
    </w:r>
  </w:p>
  <w:p w:rsidR="00A34CF3" w:rsidRPr="00884C33" w:rsidRDefault="00A34CF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F3" w:rsidRDefault="00A34CF3">
      <w:r>
        <w:separator/>
      </w:r>
    </w:p>
  </w:footnote>
  <w:footnote w:type="continuationSeparator" w:id="0">
    <w:p w:rsidR="00A34CF3" w:rsidRDefault="00A3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F3" w:rsidRDefault="00A34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50"/>
    <w:multiLevelType w:val="hybridMultilevel"/>
    <w:tmpl w:val="FA6ED27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EE7DF9"/>
    <w:multiLevelType w:val="hybridMultilevel"/>
    <w:tmpl w:val="F6B4027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1965756C"/>
    <w:multiLevelType w:val="hybridMultilevel"/>
    <w:tmpl w:val="E5B26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24978CD"/>
    <w:multiLevelType w:val="hybridMultilevel"/>
    <w:tmpl w:val="3ECC6C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D9B4331"/>
    <w:multiLevelType w:val="hybridMultilevel"/>
    <w:tmpl w:val="00669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8545F3"/>
    <w:multiLevelType w:val="hybridMultilevel"/>
    <w:tmpl w:val="59240E92"/>
    <w:lvl w:ilvl="0" w:tplc="0C090001">
      <w:start w:val="1"/>
      <w:numFmt w:val="bullet"/>
      <w:lvlText w:val=""/>
      <w:lvlJc w:val="left"/>
      <w:pPr>
        <w:ind w:left="2910" w:hanging="360"/>
      </w:pPr>
      <w:rPr>
        <w:rFonts w:ascii="Symbol" w:hAnsi="Symbol" w:hint="default"/>
      </w:rPr>
    </w:lvl>
    <w:lvl w:ilvl="1" w:tplc="0C090003" w:tentative="1">
      <w:start w:val="1"/>
      <w:numFmt w:val="bullet"/>
      <w:lvlText w:val="o"/>
      <w:lvlJc w:val="left"/>
      <w:pPr>
        <w:ind w:left="3630" w:hanging="360"/>
      </w:pPr>
      <w:rPr>
        <w:rFonts w:ascii="Courier New" w:hAnsi="Courier New" w:cs="Courier New" w:hint="default"/>
      </w:rPr>
    </w:lvl>
    <w:lvl w:ilvl="2" w:tplc="0C090005" w:tentative="1">
      <w:start w:val="1"/>
      <w:numFmt w:val="bullet"/>
      <w:lvlText w:val=""/>
      <w:lvlJc w:val="left"/>
      <w:pPr>
        <w:ind w:left="4350" w:hanging="360"/>
      </w:pPr>
      <w:rPr>
        <w:rFonts w:ascii="Wingdings" w:hAnsi="Wingdings" w:hint="default"/>
      </w:rPr>
    </w:lvl>
    <w:lvl w:ilvl="3" w:tplc="0C090001" w:tentative="1">
      <w:start w:val="1"/>
      <w:numFmt w:val="bullet"/>
      <w:lvlText w:val=""/>
      <w:lvlJc w:val="left"/>
      <w:pPr>
        <w:ind w:left="5070" w:hanging="360"/>
      </w:pPr>
      <w:rPr>
        <w:rFonts w:ascii="Symbol" w:hAnsi="Symbol" w:hint="default"/>
      </w:rPr>
    </w:lvl>
    <w:lvl w:ilvl="4" w:tplc="0C090003" w:tentative="1">
      <w:start w:val="1"/>
      <w:numFmt w:val="bullet"/>
      <w:lvlText w:val="o"/>
      <w:lvlJc w:val="left"/>
      <w:pPr>
        <w:ind w:left="5790" w:hanging="360"/>
      </w:pPr>
      <w:rPr>
        <w:rFonts w:ascii="Courier New" w:hAnsi="Courier New" w:cs="Courier New" w:hint="default"/>
      </w:rPr>
    </w:lvl>
    <w:lvl w:ilvl="5" w:tplc="0C090005" w:tentative="1">
      <w:start w:val="1"/>
      <w:numFmt w:val="bullet"/>
      <w:lvlText w:val=""/>
      <w:lvlJc w:val="left"/>
      <w:pPr>
        <w:ind w:left="6510" w:hanging="360"/>
      </w:pPr>
      <w:rPr>
        <w:rFonts w:ascii="Wingdings" w:hAnsi="Wingdings" w:hint="default"/>
      </w:rPr>
    </w:lvl>
    <w:lvl w:ilvl="6" w:tplc="0C090001" w:tentative="1">
      <w:start w:val="1"/>
      <w:numFmt w:val="bullet"/>
      <w:lvlText w:val=""/>
      <w:lvlJc w:val="left"/>
      <w:pPr>
        <w:ind w:left="7230" w:hanging="360"/>
      </w:pPr>
      <w:rPr>
        <w:rFonts w:ascii="Symbol" w:hAnsi="Symbol" w:hint="default"/>
      </w:rPr>
    </w:lvl>
    <w:lvl w:ilvl="7" w:tplc="0C090003" w:tentative="1">
      <w:start w:val="1"/>
      <w:numFmt w:val="bullet"/>
      <w:lvlText w:val="o"/>
      <w:lvlJc w:val="left"/>
      <w:pPr>
        <w:ind w:left="7950" w:hanging="360"/>
      </w:pPr>
      <w:rPr>
        <w:rFonts w:ascii="Courier New" w:hAnsi="Courier New" w:cs="Courier New" w:hint="default"/>
      </w:rPr>
    </w:lvl>
    <w:lvl w:ilvl="8" w:tplc="0C090005" w:tentative="1">
      <w:start w:val="1"/>
      <w:numFmt w:val="bullet"/>
      <w:lvlText w:val=""/>
      <w:lvlJc w:val="left"/>
      <w:pPr>
        <w:ind w:left="8670" w:hanging="360"/>
      </w:pPr>
      <w:rPr>
        <w:rFonts w:ascii="Wingdings" w:hAnsi="Wingdings" w:hint="default"/>
      </w:rPr>
    </w:lvl>
  </w:abstractNum>
  <w:abstractNum w:abstractNumId="6">
    <w:nsid w:val="4E0C7981"/>
    <w:multiLevelType w:val="hybridMultilevel"/>
    <w:tmpl w:val="4DAAF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7E12DD3"/>
    <w:multiLevelType w:val="hybridMultilevel"/>
    <w:tmpl w:val="86644E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5C7550B"/>
    <w:multiLevelType w:val="hybridMultilevel"/>
    <w:tmpl w:val="8BE8AA16"/>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9">
    <w:nsid w:val="79992C7A"/>
    <w:multiLevelType w:val="hybridMultilevel"/>
    <w:tmpl w:val="42B6922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B293701"/>
    <w:multiLevelType w:val="hybridMultilevel"/>
    <w:tmpl w:val="97D09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D00458D"/>
    <w:multiLevelType w:val="hybridMultilevel"/>
    <w:tmpl w:val="A456EEFC"/>
    <w:lvl w:ilvl="0" w:tplc="0C09000F">
      <w:start w:val="1"/>
      <w:numFmt w:val="decimal"/>
      <w:lvlText w:val="%1."/>
      <w:lvlJc w:val="left"/>
      <w:pPr>
        <w:tabs>
          <w:tab w:val="num" w:pos="540"/>
        </w:tabs>
        <w:ind w:left="54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3"/>
  </w:num>
  <w:num w:numId="5">
    <w:abstractNumId w:val="2"/>
  </w:num>
  <w:num w:numId="6">
    <w:abstractNumId w:val="7"/>
  </w:num>
  <w:num w:numId="7">
    <w:abstractNumId w:val="10"/>
  </w:num>
  <w:num w:numId="8">
    <w:abstractNumId w:val="6"/>
  </w:num>
  <w:num w:numId="9">
    <w:abstractNumId w:val="5"/>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Offline Records (AC)\PS Second Round Public Consultation DRAFT Regulation Services Standard for CIWC  28 August 2013.docx"/>
  </w:docVars>
  <w:rsids>
    <w:rsidRoot w:val="000818FE"/>
    <w:rsid w:val="0000388D"/>
    <w:rsid w:val="00004444"/>
    <w:rsid w:val="00004847"/>
    <w:rsid w:val="00004864"/>
    <w:rsid w:val="00011834"/>
    <w:rsid w:val="00014CED"/>
    <w:rsid w:val="0001595B"/>
    <w:rsid w:val="0001601C"/>
    <w:rsid w:val="0001727A"/>
    <w:rsid w:val="0001772D"/>
    <w:rsid w:val="0002140F"/>
    <w:rsid w:val="0002461F"/>
    <w:rsid w:val="000246B0"/>
    <w:rsid w:val="000256E1"/>
    <w:rsid w:val="0002574C"/>
    <w:rsid w:val="0003029A"/>
    <w:rsid w:val="00031698"/>
    <w:rsid w:val="000320C5"/>
    <w:rsid w:val="0003236F"/>
    <w:rsid w:val="00032926"/>
    <w:rsid w:val="000336F4"/>
    <w:rsid w:val="00036A7A"/>
    <w:rsid w:val="00037143"/>
    <w:rsid w:val="0004186B"/>
    <w:rsid w:val="00042A3A"/>
    <w:rsid w:val="00042F98"/>
    <w:rsid w:val="000435BA"/>
    <w:rsid w:val="00043814"/>
    <w:rsid w:val="00043BE1"/>
    <w:rsid w:val="000448E0"/>
    <w:rsid w:val="00047756"/>
    <w:rsid w:val="0005070E"/>
    <w:rsid w:val="00050AEB"/>
    <w:rsid w:val="0005278B"/>
    <w:rsid w:val="000546B4"/>
    <w:rsid w:val="00055C52"/>
    <w:rsid w:val="0005630B"/>
    <w:rsid w:val="00056824"/>
    <w:rsid w:val="0005704E"/>
    <w:rsid w:val="00057739"/>
    <w:rsid w:val="00061BE8"/>
    <w:rsid w:val="0006402D"/>
    <w:rsid w:val="00064363"/>
    <w:rsid w:val="0007026B"/>
    <w:rsid w:val="00070709"/>
    <w:rsid w:val="00070E01"/>
    <w:rsid w:val="0008048E"/>
    <w:rsid w:val="000805F6"/>
    <w:rsid w:val="000818FE"/>
    <w:rsid w:val="00082587"/>
    <w:rsid w:val="00083103"/>
    <w:rsid w:val="000843D6"/>
    <w:rsid w:val="00084714"/>
    <w:rsid w:val="000855A1"/>
    <w:rsid w:val="0008623D"/>
    <w:rsid w:val="00087210"/>
    <w:rsid w:val="00087D84"/>
    <w:rsid w:val="00091706"/>
    <w:rsid w:val="00092152"/>
    <w:rsid w:val="000926CD"/>
    <w:rsid w:val="00093355"/>
    <w:rsid w:val="00094FDD"/>
    <w:rsid w:val="00095975"/>
    <w:rsid w:val="000968E9"/>
    <w:rsid w:val="00096C2A"/>
    <w:rsid w:val="000972CE"/>
    <w:rsid w:val="000A10EF"/>
    <w:rsid w:val="000A28CB"/>
    <w:rsid w:val="000A3CAD"/>
    <w:rsid w:val="000A4A30"/>
    <w:rsid w:val="000A4CE7"/>
    <w:rsid w:val="000A59A5"/>
    <w:rsid w:val="000A67A9"/>
    <w:rsid w:val="000A6C3E"/>
    <w:rsid w:val="000B2F97"/>
    <w:rsid w:val="000B3B2D"/>
    <w:rsid w:val="000B770A"/>
    <w:rsid w:val="000C033A"/>
    <w:rsid w:val="000C0B52"/>
    <w:rsid w:val="000C2E2B"/>
    <w:rsid w:val="000C30DB"/>
    <w:rsid w:val="000C4DB1"/>
    <w:rsid w:val="000C7578"/>
    <w:rsid w:val="000C7EFD"/>
    <w:rsid w:val="000D0460"/>
    <w:rsid w:val="000D7090"/>
    <w:rsid w:val="000E0847"/>
    <w:rsid w:val="000E2238"/>
    <w:rsid w:val="000E3867"/>
    <w:rsid w:val="000E4C4F"/>
    <w:rsid w:val="000F036E"/>
    <w:rsid w:val="000F0F9B"/>
    <w:rsid w:val="000F380A"/>
    <w:rsid w:val="000F47CE"/>
    <w:rsid w:val="000F4D3D"/>
    <w:rsid w:val="000F5BEF"/>
    <w:rsid w:val="00100904"/>
    <w:rsid w:val="0010229A"/>
    <w:rsid w:val="00102EC5"/>
    <w:rsid w:val="00103637"/>
    <w:rsid w:val="001070CD"/>
    <w:rsid w:val="00107924"/>
    <w:rsid w:val="00110FAF"/>
    <w:rsid w:val="00116410"/>
    <w:rsid w:val="00116840"/>
    <w:rsid w:val="00120E5E"/>
    <w:rsid w:val="00124DA3"/>
    <w:rsid w:val="001251E6"/>
    <w:rsid w:val="00126178"/>
    <w:rsid w:val="00131806"/>
    <w:rsid w:val="001376BE"/>
    <w:rsid w:val="00137EDE"/>
    <w:rsid w:val="0014243D"/>
    <w:rsid w:val="00142818"/>
    <w:rsid w:val="00143DEA"/>
    <w:rsid w:val="00143E51"/>
    <w:rsid w:val="001468CE"/>
    <w:rsid w:val="0014741D"/>
    <w:rsid w:val="001475B7"/>
    <w:rsid w:val="001478B1"/>
    <w:rsid w:val="001503EB"/>
    <w:rsid w:val="00150E42"/>
    <w:rsid w:val="00154FAE"/>
    <w:rsid w:val="00156F89"/>
    <w:rsid w:val="00157413"/>
    <w:rsid w:val="0015752F"/>
    <w:rsid w:val="00164BFB"/>
    <w:rsid w:val="00165916"/>
    <w:rsid w:val="00166C6F"/>
    <w:rsid w:val="0017353B"/>
    <w:rsid w:val="00173988"/>
    <w:rsid w:val="00173F30"/>
    <w:rsid w:val="00176EA9"/>
    <w:rsid w:val="00176FFF"/>
    <w:rsid w:val="00177382"/>
    <w:rsid w:val="00180A73"/>
    <w:rsid w:val="00183C38"/>
    <w:rsid w:val="0018787E"/>
    <w:rsid w:val="00190452"/>
    <w:rsid w:val="001936E4"/>
    <w:rsid w:val="00193DE7"/>
    <w:rsid w:val="00196A05"/>
    <w:rsid w:val="00196ECD"/>
    <w:rsid w:val="001A0557"/>
    <w:rsid w:val="001A0CFE"/>
    <w:rsid w:val="001A507D"/>
    <w:rsid w:val="001A537F"/>
    <w:rsid w:val="001A544A"/>
    <w:rsid w:val="001A5DD5"/>
    <w:rsid w:val="001B11AD"/>
    <w:rsid w:val="001B1F66"/>
    <w:rsid w:val="001B2104"/>
    <w:rsid w:val="001B21D6"/>
    <w:rsid w:val="001B2A2B"/>
    <w:rsid w:val="001B3348"/>
    <w:rsid w:val="001B485B"/>
    <w:rsid w:val="001C014A"/>
    <w:rsid w:val="001C0E6E"/>
    <w:rsid w:val="001C1484"/>
    <w:rsid w:val="001D1C88"/>
    <w:rsid w:val="001D464F"/>
    <w:rsid w:val="001D4C3B"/>
    <w:rsid w:val="001D5FB8"/>
    <w:rsid w:val="001E1B44"/>
    <w:rsid w:val="001E3F05"/>
    <w:rsid w:val="001E5906"/>
    <w:rsid w:val="001E7C0C"/>
    <w:rsid w:val="001F036D"/>
    <w:rsid w:val="001F0805"/>
    <w:rsid w:val="001F6832"/>
    <w:rsid w:val="001F6CB2"/>
    <w:rsid w:val="00200097"/>
    <w:rsid w:val="002008F0"/>
    <w:rsid w:val="00200B1E"/>
    <w:rsid w:val="00201038"/>
    <w:rsid w:val="002011E8"/>
    <w:rsid w:val="00201DD5"/>
    <w:rsid w:val="0020278D"/>
    <w:rsid w:val="002037F9"/>
    <w:rsid w:val="00203DB8"/>
    <w:rsid w:val="002046A0"/>
    <w:rsid w:val="00204B6E"/>
    <w:rsid w:val="002054D3"/>
    <w:rsid w:val="00206391"/>
    <w:rsid w:val="00207AF5"/>
    <w:rsid w:val="00212EC0"/>
    <w:rsid w:val="0021583B"/>
    <w:rsid w:val="00217E02"/>
    <w:rsid w:val="00220672"/>
    <w:rsid w:val="00220987"/>
    <w:rsid w:val="002229B9"/>
    <w:rsid w:val="00225601"/>
    <w:rsid w:val="00225AFA"/>
    <w:rsid w:val="00226D11"/>
    <w:rsid w:val="00230C15"/>
    <w:rsid w:val="00233185"/>
    <w:rsid w:val="002335E9"/>
    <w:rsid w:val="00234A44"/>
    <w:rsid w:val="0023768A"/>
    <w:rsid w:val="00237FD8"/>
    <w:rsid w:val="00240B60"/>
    <w:rsid w:val="002444E9"/>
    <w:rsid w:val="0025044B"/>
    <w:rsid w:val="00250A07"/>
    <w:rsid w:val="00253411"/>
    <w:rsid w:val="00254ECF"/>
    <w:rsid w:val="00260F83"/>
    <w:rsid w:val="00264ACA"/>
    <w:rsid w:val="00264D2A"/>
    <w:rsid w:val="002674E0"/>
    <w:rsid w:val="00270279"/>
    <w:rsid w:val="0027070A"/>
    <w:rsid w:val="00270D57"/>
    <w:rsid w:val="00272EAB"/>
    <w:rsid w:val="00277857"/>
    <w:rsid w:val="002807AD"/>
    <w:rsid w:val="00280887"/>
    <w:rsid w:val="0028336C"/>
    <w:rsid w:val="002911AA"/>
    <w:rsid w:val="002951D8"/>
    <w:rsid w:val="00297080"/>
    <w:rsid w:val="00297F66"/>
    <w:rsid w:val="002A0818"/>
    <w:rsid w:val="002A23CA"/>
    <w:rsid w:val="002A29A6"/>
    <w:rsid w:val="002A3CE6"/>
    <w:rsid w:val="002A4E42"/>
    <w:rsid w:val="002A52D1"/>
    <w:rsid w:val="002A6B0A"/>
    <w:rsid w:val="002A6FB3"/>
    <w:rsid w:val="002A6FD5"/>
    <w:rsid w:val="002B5829"/>
    <w:rsid w:val="002C0414"/>
    <w:rsid w:val="002C1327"/>
    <w:rsid w:val="002C15BC"/>
    <w:rsid w:val="002C1F6D"/>
    <w:rsid w:val="002C28E3"/>
    <w:rsid w:val="002C2BEE"/>
    <w:rsid w:val="002C32F7"/>
    <w:rsid w:val="002C59DF"/>
    <w:rsid w:val="002C7738"/>
    <w:rsid w:val="002D04E5"/>
    <w:rsid w:val="002D0DAF"/>
    <w:rsid w:val="002D4B27"/>
    <w:rsid w:val="002D66E5"/>
    <w:rsid w:val="002D69D7"/>
    <w:rsid w:val="002E22FD"/>
    <w:rsid w:val="002E25AF"/>
    <w:rsid w:val="002E4642"/>
    <w:rsid w:val="002E541C"/>
    <w:rsid w:val="002E5782"/>
    <w:rsid w:val="002E7102"/>
    <w:rsid w:val="002F0F3D"/>
    <w:rsid w:val="002F3049"/>
    <w:rsid w:val="002F541F"/>
    <w:rsid w:val="002F5BD9"/>
    <w:rsid w:val="002F5E30"/>
    <w:rsid w:val="002F6237"/>
    <w:rsid w:val="00300DCE"/>
    <w:rsid w:val="003027E6"/>
    <w:rsid w:val="0030281F"/>
    <w:rsid w:val="00303267"/>
    <w:rsid w:val="00303779"/>
    <w:rsid w:val="003064D2"/>
    <w:rsid w:val="00306A89"/>
    <w:rsid w:val="00310184"/>
    <w:rsid w:val="00317978"/>
    <w:rsid w:val="00317B12"/>
    <w:rsid w:val="00322474"/>
    <w:rsid w:val="00322577"/>
    <w:rsid w:val="00324D20"/>
    <w:rsid w:val="003250E1"/>
    <w:rsid w:val="0033048C"/>
    <w:rsid w:val="00332323"/>
    <w:rsid w:val="003332F1"/>
    <w:rsid w:val="003336BF"/>
    <w:rsid w:val="00334175"/>
    <w:rsid w:val="00334EBC"/>
    <w:rsid w:val="003353B9"/>
    <w:rsid w:val="00335EC4"/>
    <w:rsid w:val="00337237"/>
    <w:rsid w:val="003379B7"/>
    <w:rsid w:val="00340116"/>
    <w:rsid w:val="0034154C"/>
    <w:rsid w:val="003417CA"/>
    <w:rsid w:val="00341C55"/>
    <w:rsid w:val="00341F76"/>
    <w:rsid w:val="00342B67"/>
    <w:rsid w:val="00342B93"/>
    <w:rsid w:val="0034478B"/>
    <w:rsid w:val="00347E43"/>
    <w:rsid w:val="003505EC"/>
    <w:rsid w:val="00351FF3"/>
    <w:rsid w:val="003523BB"/>
    <w:rsid w:val="003527AC"/>
    <w:rsid w:val="00352D5E"/>
    <w:rsid w:val="00357BC8"/>
    <w:rsid w:val="003611CB"/>
    <w:rsid w:val="0036293C"/>
    <w:rsid w:val="00362FF0"/>
    <w:rsid w:val="0036524A"/>
    <w:rsid w:val="00371018"/>
    <w:rsid w:val="00372BDB"/>
    <w:rsid w:val="00373E3A"/>
    <w:rsid w:val="00376D46"/>
    <w:rsid w:val="00377DD1"/>
    <w:rsid w:val="00380FA7"/>
    <w:rsid w:val="003816A8"/>
    <w:rsid w:val="003825E0"/>
    <w:rsid w:val="00383BB2"/>
    <w:rsid w:val="003854FB"/>
    <w:rsid w:val="00385CD1"/>
    <w:rsid w:val="0038776D"/>
    <w:rsid w:val="003900B6"/>
    <w:rsid w:val="00390436"/>
    <w:rsid w:val="003908DC"/>
    <w:rsid w:val="0039166F"/>
    <w:rsid w:val="003932FD"/>
    <w:rsid w:val="003934DA"/>
    <w:rsid w:val="00393C2F"/>
    <w:rsid w:val="00393C66"/>
    <w:rsid w:val="00393DD5"/>
    <w:rsid w:val="00395EAA"/>
    <w:rsid w:val="00396718"/>
    <w:rsid w:val="00397E83"/>
    <w:rsid w:val="003A1E3C"/>
    <w:rsid w:val="003A2889"/>
    <w:rsid w:val="003A303A"/>
    <w:rsid w:val="003A429A"/>
    <w:rsid w:val="003A5313"/>
    <w:rsid w:val="003A6A25"/>
    <w:rsid w:val="003A6B95"/>
    <w:rsid w:val="003A72F0"/>
    <w:rsid w:val="003A7A2D"/>
    <w:rsid w:val="003B1391"/>
    <w:rsid w:val="003B58AB"/>
    <w:rsid w:val="003C0316"/>
    <w:rsid w:val="003C0A30"/>
    <w:rsid w:val="003C14E3"/>
    <w:rsid w:val="003C1A7C"/>
    <w:rsid w:val="003C37AC"/>
    <w:rsid w:val="003C4EA1"/>
    <w:rsid w:val="003D1B9D"/>
    <w:rsid w:val="003D236B"/>
    <w:rsid w:val="003D3AED"/>
    <w:rsid w:val="003D3D21"/>
    <w:rsid w:val="003E042B"/>
    <w:rsid w:val="003E07F6"/>
    <w:rsid w:val="003E4EE5"/>
    <w:rsid w:val="003E5D3B"/>
    <w:rsid w:val="003E6458"/>
    <w:rsid w:val="003F04C3"/>
    <w:rsid w:val="003F2F0A"/>
    <w:rsid w:val="003F728E"/>
    <w:rsid w:val="003F7981"/>
    <w:rsid w:val="004017DB"/>
    <w:rsid w:val="004035CF"/>
    <w:rsid w:val="00404805"/>
    <w:rsid w:val="00406CD5"/>
    <w:rsid w:val="004108C3"/>
    <w:rsid w:val="00411DA3"/>
    <w:rsid w:val="00420248"/>
    <w:rsid w:val="00420784"/>
    <w:rsid w:val="004208A4"/>
    <w:rsid w:val="00422133"/>
    <w:rsid w:val="0042342B"/>
    <w:rsid w:val="00423BD1"/>
    <w:rsid w:val="00425235"/>
    <w:rsid w:val="00426514"/>
    <w:rsid w:val="004275BA"/>
    <w:rsid w:val="00427DC9"/>
    <w:rsid w:val="004306BA"/>
    <w:rsid w:val="00433D78"/>
    <w:rsid w:val="00434B48"/>
    <w:rsid w:val="00435492"/>
    <w:rsid w:val="004366B9"/>
    <w:rsid w:val="00437C08"/>
    <w:rsid w:val="004408C4"/>
    <w:rsid w:val="004420BA"/>
    <w:rsid w:val="0044444F"/>
    <w:rsid w:val="00445E4C"/>
    <w:rsid w:val="004469F2"/>
    <w:rsid w:val="00447EFE"/>
    <w:rsid w:val="00450AED"/>
    <w:rsid w:val="00453C6A"/>
    <w:rsid w:val="00454E68"/>
    <w:rsid w:val="00456BB8"/>
    <w:rsid w:val="00456BBF"/>
    <w:rsid w:val="004602FF"/>
    <w:rsid w:val="0046320D"/>
    <w:rsid w:val="0046361B"/>
    <w:rsid w:val="00465B70"/>
    <w:rsid w:val="00470BA7"/>
    <w:rsid w:val="00470EA2"/>
    <w:rsid w:val="00470FD1"/>
    <w:rsid w:val="0047189B"/>
    <w:rsid w:val="00471F20"/>
    <w:rsid w:val="00474147"/>
    <w:rsid w:val="00476898"/>
    <w:rsid w:val="0047725A"/>
    <w:rsid w:val="004822AF"/>
    <w:rsid w:val="0048270E"/>
    <w:rsid w:val="004828F4"/>
    <w:rsid w:val="00482FFB"/>
    <w:rsid w:val="00483067"/>
    <w:rsid w:val="004839BA"/>
    <w:rsid w:val="00485042"/>
    <w:rsid w:val="00486A55"/>
    <w:rsid w:val="004948C1"/>
    <w:rsid w:val="00495295"/>
    <w:rsid w:val="004A16D8"/>
    <w:rsid w:val="004A207F"/>
    <w:rsid w:val="004A246A"/>
    <w:rsid w:val="004A3C38"/>
    <w:rsid w:val="004A5471"/>
    <w:rsid w:val="004A7A8F"/>
    <w:rsid w:val="004B247D"/>
    <w:rsid w:val="004B28ED"/>
    <w:rsid w:val="004B59FB"/>
    <w:rsid w:val="004B5BC8"/>
    <w:rsid w:val="004C1697"/>
    <w:rsid w:val="004C17AD"/>
    <w:rsid w:val="004C17EA"/>
    <w:rsid w:val="004C30B1"/>
    <w:rsid w:val="004C3755"/>
    <w:rsid w:val="004C5043"/>
    <w:rsid w:val="004C54E4"/>
    <w:rsid w:val="004C5A5A"/>
    <w:rsid w:val="004C7C15"/>
    <w:rsid w:val="004D3900"/>
    <w:rsid w:val="004D3EB7"/>
    <w:rsid w:val="004D7780"/>
    <w:rsid w:val="004E041C"/>
    <w:rsid w:val="004E2DE8"/>
    <w:rsid w:val="004E3891"/>
    <w:rsid w:val="004E5FBA"/>
    <w:rsid w:val="004E67A3"/>
    <w:rsid w:val="004E6A1E"/>
    <w:rsid w:val="004E7F4C"/>
    <w:rsid w:val="004F00C7"/>
    <w:rsid w:val="004F1936"/>
    <w:rsid w:val="004F2270"/>
    <w:rsid w:val="004F2FC0"/>
    <w:rsid w:val="004F545D"/>
    <w:rsid w:val="0050018C"/>
    <w:rsid w:val="00501B68"/>
    <w:rsid w:val="00505B8C"/>
    <w:rsid w:val="00511B5F"/>
    <w:rsid w:val="005135B9"/>
    <w:rsid w:val="00515357"/>
    <w:rsid w:val="00515517"/>
    <w:rsid w:val="00516D48"/>
    <w:rsid w:val="00522287"/>
    <w:rsid w:val="00522AD3"/>
    <w:rsid w:val="00522DD6"/>
    <w:rsid w:val="005239CA"/>
    <w:rsid w:val="00524E2C"/>
    <w:rsid w:val="00524FBA"/>
    <w:rsid w:val="005262BA"/>
    <w:rsid w:val="00526F98"/>
    <w:rsid w:val="00530BCB"/>
    <w:rsid w:val="005328F5"/>
    <w:rsid w:val="00533689"/>
    <w:rsid w:val="00533D59"/>
    <w:rsid w:val="00534BD7"/>
    <w:rsid w:val="005378BF"/>
    <w:rsid w:val="00540863"/>
    <w:rsid w:val="00540B38"/>
    <w:rsid w:val="005411A8"/>
    <w:rsid w:val="00542385"/>
    <w:rsid w:val="0054413F"/>
    <w:rsid w:val="005450D7"/>
    <w:rsid w:val="005465B1"/>
    <w:rsid w:val="00546C5D"/>
    <w:rsid w:val="00551E01"/>
    <w:rsid w:val="00552401"/>
    <w:rsid w:val="005524CE"/>
    <w:rsid w:val="00553F16"/>
    <w:rsid w:val="00557A1A"/>
    <w:rsid w:val="00560B47"/>
    <w:rsid w:val="00560C60"/>
    <w:rsid w:val="0056100F"/>
    <w:rsid w:val="00561795"/>
    <w:rsid w:val="00562555"/>
    <w:rsid w:val="0056290A"/>
    <w:rsid w:val="00564357"/>
    <w:rsid w:val="00567229"/>
    <w:rsid w:val="00567A9C"/>
    <w:rsid w:val="005703FB"/>
    <w:rsid w:val="00570786"/>
    <w:rsid w:val="0057153B"/>
    <w:rsid w:val="005722E2"/>
    <w:rsid w:val="0057516F"/>
    <w:rsid w:val="00580028"/>
    <w:rsid w:val="0058021B"/>
    <w:rsid w:val="00580984"/>
    <w:rsid w:val="00581DE8"/>
    <w:rsid w:val="005826F9"/>
    <w:rsid w:val="00582C72"/>
    <w:rsid w:val="00585066"/>
    <w:rsid w:val="00586F83"/>
    <w:rsid w:val="005878BF"/>
    <w:rsid w:val="00591E4E"/>
    <w:rsid w:val="00593787"/>
    <w:rsid w:val="00596306"/>
    <w:rsid w:val="005A01CF"/>
    <w:rsid w:val="005A0E9F"/>
    <w:rsid w:val="005A2208"/>
    <w:rsid w:val="005A3F7C"/>
    <w:rsid w:val="005A4A50"/>
    <w:rsid w:val="005A66D1"/>
    <w:rsid w:val="005A6AF7"/>
    <w:rsid w:val="005B045F"/>
    <w:rsid w:val="005B0987"/>
    <w:rsid w:val="005B23EA"/>
    <w:rsid w:val="005B3AF6"/>
    <w:rsid w:val="005B5235"/>
    <w:rsid w:val="005B5781"/>
    <w:rsid w:val="005B6CF7"/>
    <w:rsid w:val="005C0CB1"/>
    <w:rsid w:val="005C231D"/>
    <w:rsid w:val="005C4A6B"/>
    <w:rsid w:val="005C5178"/>
    <w:rsid w:val="005C57ED"/>
    <w:rsid w:val="005C5CC8"/>
    <w:rsid w:val="005C7BA4"/>
    <w:rsid w:val="005D0C43"/>
    <w:rsid w:val="005D2837"/>
    <w:rsid w:val="005E1731"/>
    <w:rsid w:val="005E1D9D"/>
    <w:rsid w:val="005E1FE2"/>
    <w:rsid w:val="005E7924"/>
    <w:rsid w:val="005F2686"/>
    <w:rsid w:val="00601D9B"/>
    <w:rsid w:val="00604BCB"/>
    <w:rsid w:val="0060560E"/>
    <w:rsid w:val="00612773"/>
    <w:rsid w:val="00614938"/>
    <w:rsid w:val="006164C4"/>
    <w:rsid w:val="00625726"/>
    <w:rsid w:val="00625B3D"/>
    <w:rsid w:val="00631B2A"/>
    <w:rsid w:val="00637178"/>
    <w:rsid w:val="00637AC2"/>
    <w:rsid w:val="00637D59"/>
    <w:rsid w:val="00640EF5"/>
    <w:rsid w:val="006418B7"/>
    <w:rsid w:val="00641AAF"/>
    <w:rsid w:val="00643684"/>
    <w:rsid w:val="006451B7"/>
    <w:rsid w:val="0065113D"/>
    <w:rsid w:val="00652075"/>
    <w:rsid w:val="0065212C"/>
    <w:rsid w:val="00653972"/>
    <w:rsid w:val="00655464"/>
    <w:rsid w:val="006557DE"/>
    <w:rsid w:val="00655921"/>
    <w:rsid w:val="00655F6E"/>
    <w:rsid w:val="006562DA"/>
    <w:rsid w:val="00667EC6"/>
    <w:rsid w:val="0067004A"/>
    <w:rsid w:val="0067111E"/>
    <w:rsid w:val="00671162"/>
    <w:rsid w:val="00671949"/>
    <w:rsid w:val="0067234D"/>
    <w:rsid w:val="006729A1"/>
    <w:rsid w:val="006756D5"/>
    <w:rsid w:val="00675AB0"/>
    <w:rsid w:val="006767D3"/>
    <w:rsid w:val="006833D6"/>
    <w:rsid w:val="00684EB6"/>
    <w:rsid w:val="00684F34"/>
    <w:rsid w:val="00685A30"/>
    <w:rsid w:val="006865F3"/>
    <w:rsid w:val="00690355"/>
    <w:rsid w:val="006913A3"/>
    <w:rsid w:val="006921A2"/>
    <w:rsid w:val="006A5014"/>
    <w:rsid w:val="006A57BE"/>
    <w:rsid w:val="006A5E25"/>
    <w:rsid w:val="006A5F32"/>
    <w:rsid w:val="006B1037"/>
    <w:rsid w:val="006B1492"/>
    <w:rsid w:val="006B16E9"/>
    <w:rsid w:val="006B205F"/>
    <w:rsid w:val="006B373D"/>
    <w:rsid w:val="006B5BCA"/>
    <w:rsid w:val="006C1A42"/>
    <w:rsid w:val="006C231D"/>
    <w:rsid w:val="006C2533"/>
    <w:rsid w:val="006C2FF5"/>
    <w:rsid w:val="006C65EB"/>
    <w:rsid w:val="006D6094"/>
    <w:rsid w:val="006E23CC"/>
    <w:rsid w:val="006E4AD2"/>
    <w:rsid w:val="006E4D3F"/>
    <w:rsid w:val="006E5981"/>
    <w:rsid w:val="006F0747"/>
    <w:rsid w:val="006F165D"/>
    <w:rsid w:val="006F1F9B"/>
    <w:rsid w:val="006F5140"/>
    <w:rsid w:val="0070030B"/>
    <w:rsid w:val="007006C8"/>
    <w:rsid w:val="0070188D"/>
    <w:rsid w:val="0070288C"/>
    <w:rsid w:val="00703889"/>
    <w:rsid w:val="00705096"/>
    <w:rsid w:val="007109F0"/>
    <w:rsid w:val="00710B21"/>
    <w:rsid w:val="00711130"/>
    <w:rsid w:val="0071531D"/>
    <w:rsid w:val="00715357"/>
    <w:rsid w:val="00715E21"/>
    <w:rsid w:val="00716960"/>
    <w:rsid w:val="007204D4"/>
    <w:rsid w:val="0072629D"/>
    <w:rsid w:val="00727468"/>
    <w:rsid w:val="00727DA1"/>
    <w:rsid w:val="00730C48"/>
    <w:rsid w:val="00742050"/>
    <w:rsid w:val="007443CA"/>
    <w:rsid w:val="0074665E"/>
    <w:rsid w:val="00746BAD"/>
    <w:rsid w:val="00750823"/>
    <w:rsid w:val="00750D54"/>
    <w:rsid w:val="00752962"/>
    <w:rsid w:val="0075649C"/>
    <w:rsid w:val="007564DD"/>
    <w:rsid w:val="007600BF"/>
    <w:rsid w:val="00761C16"/>
    <w:rsid w:val="007642F6"/>
    <w:rsid w:val="00764639"/>
    <w:rsid w:val="00764767"/>
    <w:rsid w:val="00767C34"/>
    <w:rsid w:val="007714A7"/>
    <w:rsid w:val="0077202A"/>
    <w:rsid w:val="0077352D"/>
    <w:rsid w:val="007814F0"/>
    <w:rsid w:val="0078367B"/>
    <w:rsid w:val="00784475"/>
    <w:rsid w:val="007864C7"/>
    <w:rsid w:val="0078654D"/>
    <w:rsid w:val="0078656B"/>
    <w:rsid w:val="0078689A"/>
    <w:rsid w:val="0078799C"/>
    <w:rsid w:val="007933D6"/>
    <w:rsid w:val="007953CA"/>
    <w:rsid w:val="007979E7"/>
    <w:rsid w:val="007A123C"/>
    <w:rsid w:val="007A2810"/>
    <w:rsid w:val="007A2B65"/>
    <w:rsid w:val="007A5EE4"/>
    <w:rsid w:val="007B0C59"/>
    <w:rsid w:val="007B4117"/>
    <w:rsid w:val="007B4F04"/>
    <w:rsid w:val="007C0053"/>
    <w:rsid w:val="007C25FC"/>
    <w:rsid w:val="007C4367"/>
    <w:rsid w:val="007C7DB9"/>
    <w:rsid w:val="007D06BF"/>
    <w:rsid w:val="007D14FF"/>
    <w:rsid w:val="007D3CCF"/>
    <w:rsid w:val="007D4470"/>
    <w:rsid w:val="007D4B38"/>
    <w:rsid w:val="007D5410"/>
    <w:rsid w:val="007D5A5C"/>
    <w:rsid w:val="007D5EA4"/>
    <w:rsid w:val="007D692B"/>
    <w:rsid w:val="007D6940"/>
    <w:rsid w:val="007D7991"/>
    <w:rsid w:val="007D7B2B"/>
    <w:rsid w:val="007E3031"/>
    <w:rsid w:val="007E4650"/>
    <w:rsid w:val="007E5866"/>
    <w:rsid w:val="007E74CA"/>
    <w:rsid w:val="007E7CB9"/>
    <w:rsid w:val="007F0643"/>
    <w:rsid w:val="007F0E1B"/>
    <w:rsid w:val="007F1D41"/>
    <w:rsid w:val="007F2BC1"/>
    <w:rsid w:val="007F6561"/>
    <w:rsid w:val="0080107F"/>
    <w:rsid w:val="008023BB"/>
    <w:rsid w:val="0081281F"/>
    <w:rsid w:val="00813BF4"/>
    <w:rsid w:val="00815C40"/>
    <w:rsid w:val="00815E55"/>
    <w:rsid w:val="00816041"/>
    <w:rsid w:val="00816EAC"/>
    <w:rsid w:val="00820459"/>
    <w:rsid w:val="00820B77"/>
    <w:rsid w:val="008218DE"/>
    <w:rsid w:val="008244D9"/>
    <w:rsid w:val="00827BF7"/>
    <w:rsid w:val="008317AE"/>
    <w:rsid w:val="00837CB1"/>
    <w:rsid w:val="008404E2"/>
    <w:rsid w:val="00842EEE"/>
    <w:rsid w:val="0084488B"/>
    <w:rsid w:val="0084538D"/>
    <w:rsid w:val="0085012B"/>
    <w:rsid w:val="00850D52"/>
    <w:rsid w:val="008516A8"/>
    <w:rsid w:val="00851EBD"/>
    <w:rsid w:val="00856455"/>
    <w:rsid w:val="00856B99"/>
    <w:rsid w:val="00857126"/>
    <w:rsid w:val="008610D1"/>
    <w:rsid w:val="00864698"/>
    <w:rsid w:val="00866629"/>
    <w:rsid w:val="0086694F"/>
    <w:rsid w:val="0087088F"/>
    <w:rsid w:val="0087163C"/>
    <w:rsid w:val="00871C09"/>
    <w:rsid w:val="00871D0B"/>
    <w:rsid w:val="00875083"/>
    <w:rsid w:val="008765D6"/>
    <w:rsid w:val="00876BEC"/>
    <w:rsid w:val="00876FFC"/>
    <w:rsid w:val="00881541"/>
    <w:rsid w:val="00882849"/>
    <w:rsid w:val="00883566"/>
    <w:rsid w:val="00884C33"/>
    <w:rsid w:val="0088783F"/>
    <w:rsid w:val="0089248C"/>
    <w:rsid w:val="0089613D"/>
    <w:rsid w:val="00897B7B"/>
    <w:rsid w:val="008A3D80"/>
    <w:rsid w:val="008A6587"/>
    <w:rsid w:val="008B1490"/>
    <w:rsid w:val="008B1E93"/>
    <w:rsid w:val="008C2D1E"/>
    <w:rsid w:val="008C3944"/>
    <w:rsid w:val="008C6B83"/>
    <w:rsid w:val="008C7B01"/>
    <w:rsid w:val="008D1D58"/>
    <w:rsid w:val="008D1F6E"/>
    <w:rsid w:val="008D5AC6"/>
    <w:rsid w:val="008D6D24"/>
    <w:rsid w:val="008E1287"/>
    <w:rsid w:val="008E1D3E"/>
    <w:rsid w:val="008E4561"/>
    <w:rsid w:val="008F3D2B"/>
    <w:rsid w:val="008F3DCA"/>
    <w:rsid w:val="008F6686"/>
    <w:rsid w:val="008F6E52"/>
    <w:rsid w:val="008F733C"/>
    <w:rsid w:val="008F7527"/>
    <w:rsid w:val="00900822"/>
    <w:rsid w:val="00902334"/>
    <w:rsid w:val="009028B7"/>
    <w:rsid w:val="009061BF"/>
    <w:rsid w:val="009110BF"/>
    <w:rsid w:val="009117A5"/>
    <w:rsid w:val="0091206C"/>
    <w:rsid w:val="00912BF0"/>
    <w:rsid w:val="00913116"/>
    <w:rsid w:val="009141F5"/>
    <w:rsid w:val="00915777"/>
    <w:rsid w:val="00917210"/>
    <w:rsid w:val="009178CD"/>
    <w:rsid w:val="00917D38"/>
    <w:rsid w:val="009237F8"/>
    <w:rsid w:val="00924D46"/>
    <w:rsid w:val="0092521B"/>
    <w:rsid w:val="0093153C"/>
    <w:rsid w:val="00931A35"/>
    <w:rsid w:val="0093249E"/>
    <w:rsid w:val="00932FB7"/>
    <w:rsid w:val="00933459"/>
    <w:rsid w:val="00940B4F"/>
    <w:rsid w:val="00940E03"/>
    <w:rsid w:val="0094346E"/>
    <w:rsid w:val="00944616"/>
    <w:rsid w:val="00944AAE"/>
    <w:rsid w:val="009452E7"/>
    <w:rsid w:val="00945DDB"/>
    <w:rsid w:val="00947770"/>
    <w:rsid w:val="0094790A"/>
    <w:rsid w:val="0095188D"/>
    <w:rsid w:val="00953E06"/>
    <w:rsid w:val="00953F35"/>
    <w:rsid w:val="00957559"/>
    <w:rsid w:val="00957B4A"/>
    <w:rsid w:val="00960B67"/>
    <w:rsid w:val="00960F9C"/>
    <w:rsid w:val="0096136A"/>
    <w:rsid w:val="00962797"/>
    <w:rsid w:val="009629B1"/>
    <w:rsid w:val="009656FC"/>
    <w:rsid w:val="00965F1E"/>
    <w:rsid w:val="0096669A"/>
    <w:rsid w:val="00966B06"/>
    <w:rsid w:val="0097011E"/>
    <w:rsid w:val="00970B5D"/>
    <w:rsid w:val="00974D31"/>
    <w:rsid w:val="009750D5"/>
    <w:rsid w:val="00975F32"/>
    <w:rsid w:val="00976CB5"/>
    <w:rsid w:val="00980ED9"/>
    <w:rsid w:val="00981F30"/>
    <w:rsid w:val="00982159"/>
    <w:rsid w:val="0098367D"/>
    <w:rsid w:val="00983C01"/>
    <w:rsid w:val="00992F0E"/>
    <w:rsid w:val="009932DD"/>
    <w:rsid w:val="009940AB"/>
    <w:rsid w:val="00996226"/>
    <w:rsid w:val="009A0F86"/>
    <w:rsid w:val="009A20B4"/>
    <w:rsid w:val="009A455C"/>
    <w:rsid w:val="009A5B11"/>
    <w:rsid w:val="009A6C9B"/>
    <w:rsid w:val="009B024C"/>
    <w:rsid w:val="009B1DD4"/>
    <w:rsid w:val="009B27B9"/>
    <w:rsid w:val="009B3435"/>
    <w:rsid w:val="009B4916"/>
    <w:rsid w:val="009B5CCA"/>
    <w:rsid w:val="009B5E28"/>
    <w:rsid w:val="009B5E5E"/>
    <w:rsid w:val="009C1ED4"/>
    <w:rsid w:val="009C2932"/>
    <w:rsid w:val="009C4A19"/>
    <w:rsid w:val="009C4C2A"/>
    <w:rsid w:val="009C58AA"/>
    <w:rsid w:val="009C6959"/>
    <w:rsid w:val="009D7A10"/>
    <w:rsid w:val="009E0374"/>
    <w:rsid w:val="009E05B1"/>
    <w:rsid w:val="009E0915"/>
    <w:rsid w:val="009E1A88"/>
    <w:rsid w:val="009E2733"/>
    <w:rsid w:val="009E7D06"/>
    <w:rsid w:val="009E7D16"/>
    <w:rsid w:val="009F482A"/>
    <w:rsid w:val="00A044B5"/>
    <w:rsid w:val="00A046CF"/>
    <w:rsid w:val="00A10A9D"/>
    <w:rsid w:val="00A10E2F"/>
    <w:rsid w:val="00A1420D"/>
    <w:rsid w:val="00A15080"/>
    <w:rsid w:val="00A1643C"/>
    <w:rsid w:val="00A17754"/>
    <w:rsid w:val="00A17EBA"/>
    <w:rsid w:val="00A201A2"/>
    <w:rsid w:val="00A23690"/>
    <w:rsid w:val="00A23DE7"/>
    <w:rsid w:val="00A2465C"/>
    <w:rsid w:val="00A2469D"/>
    <w:rsid w:val="00A24704"/>
    <w:rsid w:val="00A2580F"/>
    <w:rsid w:val="00A27EEA"/>
    <w:rsid w:val="00A330F1"/>
    <w:rsid w:val="00A33709"/>
    <w:rsid w:val="00A34CF3"/>
    <w:rsid w:val="00A368DE"/>
    <w:rsid w:val="00A40318"/>
    <w:rsid w:val="00A408C1"/>
    <w:rsid w:val="00A426CA"/>
    <w:rsid w:val="00A430DE"/>
    <w:rsid w:val="00A43F66"/>
    <w:rsid w:val="00A444AC"/>
    <w:rsid w:val="00A47AF2"/>
    <w:rsid w:val="00A47DF7"/>
    <w:rsid w:val="00A508BA"/>
    <w:rsid w:val="00A52AC7"/>
    <w:rsid w:val="00A53FF0"/>
    <w:rsid w:val="00A55FC4"/>
    <w:rsid w:val="00A57D46"/>
    <w:rsid w:val="00A60E1F"/>
    <w:rsid w:val="00A61A63"/>
    <w:rsid w:val="00A62188"/>
    <w:rsid w:val="00A62BDD"/>
    <w:rsid w:val="00A62C2B"/>
    <w:rsid w:val="00A65CA5"/>
    <w:rsid w:val="00A73924"/>
    <w:rsid w:val="00A77DCD"/>
    <w:rsid w:val="00A77F33"/>
    <w:rsid w:val="00A8273C"/>
    <w:rsid w:val="00A83A36"/>
    <w:rsid w:val="00A90F3D"/>
    <w:rsid w:val="00A91EB8"/>
    <w:rsid w:val="00A93703"/>
    <w:rsid w:val="00A93C4C"/>
    <w:rsid w:val="00A93F8A"/>
    <w:rsid w:val="00AA1C16"/>
    <w:rsid w:val="00AA376D"/>
    <w:rsid w:val="00AA39C7"/>
    <w:rsid w:val="00AA4035"/>
    <w:rsid w:val="00AA41A9"/>
    <w:rsid w:val="00AA481F"/>
    <w:rsid w:val="00AA6D8A"/>
    <w:rsid w:val="00AA6E62"/>
    <w:rsid w:val="00AB27B6"/>
    <w:rsid w:val="00AB4BC9"/>
    <w:rsid w:val="00AB4DC9"/>
    <w:rsid w:val="00AC0505"/>
    <w:rsid w:val="00AC6E67"/>
    <w:rsid w:val="00AD28C0"/>
    <w:rsid w:val="00AD28EE"/>
    <w:rsid w:val="00AE06D2"/>
    <w:rsid w:val="00AE2505"/>
    <w:rsid w:val="00AE31F6"/>
    <w:rsid w:val="00AE3CE9"/>
    <w:rsid w:val="00AE41D4"/>
    <w:rsid w:val="00AE4F1F"/>
    <w:rsid w:val="00AF0108"/>
    <w:rsid w:val="00AF39A5"/>
    <w:rsid w:val="00AF3AD6"/>
    <w:rsid w:val="00AF418A"/>
    <w:rsid w:val="00B0097B"/>
    <w:rsid w:val="00B049C7"/>
    <w:rsid w:val="00B052F9"/>
    <w:rsid w:val="00B07320"/>
    <w:rsid w:val="00B10C4A"/>
    <w:rsid w:val="00B11C2C"/>
    <w:rsid w:val="00B14702"/>
    <w:rsid w:val="00B155D4"/>
    <w:rsid w:val="00B2217B"/>
    <w:rsid w:val="00B2222F"/>
    <w:rsid w:val="00B2626B"/>
    <w:rsid w:val="00B30674"/>
    <w:rsid w:val="00B318ED"/>
    <w:rsid w:val="00B3337C"/>
    <w:rsid w:val="00B3516C"/>
    <w:rsid w:val="00B362A4"/>
    <w:rsid w:val="00B37CE0"/>
    <w:rsid w:val="00B42CCB"/>
    <w:rsid w:val="00B43573"/>
    <w:rsid w:val="00B45704"/>
    <w:rsid w:val="00B45FFA"/>
    <w:rsid w:val="00B50261"/>
    <w:rsid w:val="00B52E5B"/>
    <w:rsid w:val="00B53F19"/>
    <w:rsid w:val="00B559EF"/>
    <w:rsid w:val="00B606C9"/>
    <w:rsid w:val="00B61877"/>
    <w:rsid w:val="00B61F34"/>
    <w:rsid w:val="00B62A33"/>
    <w:rsid w:val="00B63CFD"/>
    <w:rsid w:val="00B6502A"/>
    <w:rsid w:val="00B70157"/>
    <w:rsid w:val="00B72DAB"/>
    <w:rsid w:val="00B737B7"/>
    <w:rsid w:val="00B74AD1"/>
    <w:rsid w:val="00B77AF2"/>
    <w:rsid w:val="00B801F3"/>
    <w:rsid w:val="00B8251F"/>
    <w:rsid w:val="00B8624D"/>
    <w:rsid w:val="00B86703"/>
    <w:rsid w:val="00B86B8D"/>
    <w:rsid w:val="00B902C8"/>
    <w:rsid w:val="00B90A7A"/>
    <w:rsid w:val="00B923F7"/>
    <w:rsid w:val="00B933C4"/>
    <w:rsid w:val="00B94B51"/>
    <w:rsid w:val="00BA1010"/>
    <w:rsid w:val="00BA1105"/>
    <w:rsid w:val="00BA256F"/>
    <w:rsid w:val="00BA27DC"/>
    <w:rsid w:val="00BA31F5"/>
    <w:rsid w:val="00BA37B5"/>
    <w:rsid w:val="00BA4FBB"/>
    <w:rsid w:val="00BA616A"/>
    <w:rsid w:val="00BB370E"/>
    <w:rsid w:val="00BB3A13"/>
    <w:rsid w:val="00BB6F02"/>
    <w:rsid w:val="00BB7344"/>
    <w:rsid w:val="00BB74F3"/>
    <w:rsid w:val="00BC1C88"/>
    <w:rsid w:val="00BC3073"/>
    <w:rsid w:val="00BC5AB0"/>
    <w:rsid w:val="00BC5AD0"/>
    <w:rsid w:val="00BD03F1"/>
    <w:rsid w:val="00BD76CF"/>
    <w:rsid w:val="00BD7A7B"/>
    <w:rsid w:val="00BE1F17"/>
    <w:rsid w:val="00BE2FB8"/>
    <w:rsid w:val="00BE42AD"/>
    <w:rsid w:val="00BE4AC2"/>
    <w:rsid w:val="00BE51C7"/>
    <w:rsid w:val="00BE6057"/>
    <w:rsid w:val="00BE60F1"/>
    <w:rsid w:val="00BE6B41"/>
    <w:rsid w:val="00BE7F38"/>
    <w:rsid w:val="00BF1CB7"/>
    <w:rsid w:val="00BF39DA"/>
    <w:rsid w:val="00C045B0"/>
    <w:rsid w:val="00C04FCB"/>
    <w:rsid w:val="00C05E94"/>
    <w:rsid w:val="00C06788"/>
    <w:rsid w:val="00C06ABA"/>
    <w:rsid w:val="00C0774F"/>
    <w:rsid w:val="00C1454C"/>
    <w:rsid w:val="00C15C66"/>
    <w:rsid w:val="00C26331"/>
    <w:rsid w:val="00C26360"/>
    <w:rsid w:val="00C27014"/>
    <w:rsid w:val="00C31933"/>
    <w:rsid w:val="00C33276"/>
    <w:rsid w:val="00C36F07"/>
    <w:rsid w:val="00C41507"/>
    <w:rsid w:val="00C420B1"/>
    <w:rsid w:val="00C422CB"/>
    <w:rsid w:val="00C438A8"/>
    <w:rsid w:val="00C46FC6"/>
    <w:rsid w:val="00C54902"/>
    <w:rsid w:val="00C55EF2"/>
    <w:rsid w:val="00C61C8D"/>
    <w:rsid w:val="00C62645"/>
    <w:rsid w:val="00C66658"/>
    <w:rsid w:val="00C701EC"/>
    <w:rsid w:val="00C70840"/>
    <w:rsid w:val="00C73877"/>
    <w:rsid w:val="00C73E5B"/>
    <w:rsid w:val="00C73E9B"/>
    <w:rsid w:val="00C762B0"/>
    <w:rsid w:val="00C80E90"/>
    <w:rsid w:val="00C82F81"/>
    <w:rsid w:val="00C87D9B"/>
    <w:rsid w:val="00C91055"/>
    <w:rsid w:val="00C92D9D"/>
    <w:rsid w:val="00C9304F"/>
    <w:rsid w:val="00C93679"/>
    <w:rsid w:val="00C96334"/>
    <w:rsid w:val="00CA4D53"/>
    <w:rsid w:val="00CA680F"/>
    <w:rsid w:val="00CA79C4"/>
    <w:rsid w:val="00CB3D5A"/>
    <w:rsid w:val="00CB439B"/>
    <w:rsid w:val="00CB67B5"/>
    <w:rsid w:val="00CB6F5E"/>
    <w:rsid w:val="00CB746B"/>
    <w:rsid w:val="00CC35B7"/>
    <w:rsid w:val="00CC3A22"/>
    <w:rsid w:val="00CC5A17"/>
    <w:rsid w:val="00CC6B58"/>
    <w:rsid w:val="00CC6C7C"/>
    <w:rsid w:val="00CD0621"/>
    <w:rsid w:val="00CD207F"/>
    <w:rsid w:val="00CD328A"/>
    <w:rsid w:val="00CD4107"/>
    <w:rsid w:val="00CD69C1"/>
    <w:rsid w:val="00CE09A1"/>
    <w:rsid w:val="00CE145C"/>
    <w:rsid w:val="00CE1764"/>
    <w:rsid w:val="00CE1FB4"/>
    <w:rsid w:val="00CE2213"/>
    <w:rsid w:val="00CE32A3"/>
    <w:rsid w:val="00CE423B"/>
    <w:rsid w:val="00CE492E"/>
    <w:rsid w:val="00CE57BF"/>
    <w:rsid w:val="00CE70A8"/>
    <w:rsid w:val="00CF0FAB"/>
    <w:rsid w:val="00CF661F"/>
    <w:rsid w:val="00CF7446"/>
    <w:rsid w:val="00D00A38"/>
    <w:rsid w:val="00D01D8B"/>
    <w:rsid w:val="00D01E42"/>
    <w:rsid w:val="00D02D50"/>
    <w:rsid w:val="00D03799"/>
    <w:rsid w:val="00D050FF"/>
    <w:rsid w:val="00D05B38"/>
    <w:rsid w:val="00D06961"/>
    <w:rsid w:val="00D06E3B"/>
    <w:rsid w:val="00D07EC6"/>
    <w:rsid w:val="00D101C3"/>
    <w:rsid w:val="00D10548"/>
    <w:rsid w:val="00D123A1"/>
    <w:rsid w:val="00D13351"/>
    <w:rsid w:val="00D14417"/>
    <w:rsid w:val="00D14CAD"/>
    <w:rsid w:val="00D1527B"/>
    <w:rsid w:val="00D154F4"/>
    <w:rsid w:val="00D15864"/>
    <w:rsid w:val="00D20843"/>
    <w:rsid w:val="00D20A42"/>
    <w:rsid w:val="00D232A2"/>
    <w:rsid w:val="00D24BE9"/>
    <w:rsid w:val="00D24D33"/>
    <w:rsid w:val="00D27934"/>
    <w:rsid w:val="00D27FE8"/>
    <w:rsid w:val="00D36AAC"/>
    <w:rsid w:val="00D4371B"/>
    <w:rsid w:val="00D43ACD"/>
    <w:rsid w:val="00D45F6A"/>
    <w:rsid w:val="00D500D0"/>
    <w:rsid w:val="00D50A25"/>
    <w:rsid w:val="00D51DBC"/>
    <w:rsid w:val="00D523C5"/>
    <w:rsid w:val="00D53459"/>
    <w:rsid w:val="00D54F5E"/>
    <w:rsid w:val="00D554AB"/>
    <w:rsid w:val="00D56883"/>
    <w:rsid w:val="00D60213"/>
    <w:rsid w:val="00D649B8"/>
    <w:rsid w:val="00D70921"/>
    <w:rsid w:val="00D71450"/>
    <w:rsid w:val="00D71A56"/>
    <w:rsid w:val="00D72A7E"/>
    <w:rsid w:val="00D7355C"/>
    <w:rsid w:val="00D74E4A"/>
    <w:rsid w:val="00D75844"/>
    <w:rsid w:val="00D76E13"/>
    <w:rsid w:val="00D77D48"/>
    <w:rsid w:val="00D77D5C"/>
    <w:rsid w:val="00D77DC8"/>
    <w:rsid w:val="00D811FA"/>
    <w:rsid w:val="00D83321"/>
    <w:rsid w:val="00D83C82"/>
    <w:rsid w:val="00D83D15"/>
    <w:rsid w:val="00D84B24"/>
    <w:rsid w:val="00D86FF5"/>
    <w:rsid w:val="00D9001D"/>
    <w:rsid w:val="00D9184D"/>
    <w:rsid w:val="00D92306"/>
    <w:rsid w:val="00D93894"/>
    <w:rsid w:val="00D938D8"/>
    <w:rsid w:val="00D947C8"/>
    <w:rsid w:val="00D953CB"/>
    <w:rsid w:val="00D95D99"/>
    <w:rsid w:val="00D97EA0"/>
    <w:rsid w:val="00DA404E"/>
    <w:rsid w:val="00DA4071"/>
    <w:rsid w:val="00DA44A4"/>
    <w:rsid w:val="00DA4F2B"/>
    <w:rsid w:val="00DA6C23"/>
    <w:rsid w:val="00DA6DB0"/>
    <w:rsid w:val="00DA6EF8"/>
    <w:rsid w:val="00DB1CE1"/>
    <w:rsid w:val="00DB32DE"/>
    <w:rsid w:val="00DB4B0A"/>
    <w:rsid w:val="00DB705A"/>
    <w:rsid w:val="00DC2659"/>
    <w:rsid w:val="00DC64F5"/>
    <w:rsid w:val="00DD00EA"/>
    <w:rsid w:val="00DD13E5"/>
    <w:rsid w:val="00DD14E5"/>
    <w:rsid w:val="00DD466C"/>
    <w:rsid w:val="00DD50AC"/>
    <w:rsid w:val="00DD5248"/>
    <w:rsid w:val="00DE2863"/>
    <w:rsid w:val="00DE3DB3"/>
    <w:rsid w:val="00DE53B0"/>
    <w:rsid w:val="00DE6860"/>
    <w:rsid w:val="00DF4A77"/>
    <w:rsid w:val="00E02EAA"/>
    <w:rsid w:val="00E057BF"/>
    <w:rsid w:val="00E057E1"/>
    <w:rsid w:val="00E12E39"/>
    <w:rsid w:val="00E16F83"/>
    <w:rsid w:val="00E17D15"/>
    <w:rsid w:val="00E2046E"/>
    <w:rsid w:val="00E22613"/>
    <w:rsid w:val="00E22B5F"/>
    <w:rsid w:val="00E231CE"/>
    <w:rsid w:val="00E239EA"/>
    <w:rsid w:val="00E2433F"/>
    <w:rsid w:val="00E24A86"/>
    <w:rsid w:val="00E251B4"/>
    <w:rsid w:val="00E30EE9"/>
    <w:rsid w:val="00E3152B"/>
    <w:rsid w:val="00E33166"/>
    <w:rsid w:val="00E34ED3"/>
    <w:rsid w:val="00E352F6"/>
    <w:rsid w:val="00E362BB"/>
    <w:rsid w:val="00E37991"/>
    <w:rsid w:val="00E37F31"/>
    <w:rsid w:val="00E413B3"/>
    <w:rsid w:val="00E41C77"/>
    <w:rsid w:val="00E43F85"/>
    <w:rsid w:val="00E4526A"/>
    <w:rsid w:val="00E47836"/>
    <w:rsid w:val="00E51058"/>
    <w:rsid w:val="00E52716"/>
    <w:rsid w:val="00E537B6"/>
    <w:rsid w:val="00E551B2"/>
    <w:rsid w:val="00E55DB6"/>
    <w:rsid w:val="00E6054F"/>
    <w:rsid w:val="00E64AC9"/>
    <w:rsid w:val="00E71F35"/>
    <w:rsid w:val="00E72257"/>
    <w:rsid w:val="00E73B07"/>
    <w:rsid w:val="00E7554B"/>
    <w:rsid w:val="00E77F1E"/>
    <w:rsid w:val="00E81BEC"/>
    <w:rsid w:val="00E830F4"/>
    <w:rsid w:val="00E84584"/>
    <w:rsid w:val="00E84BAC"/>
    <w:rsid w:val="00E8698F"/>
    <w:rsid w:val="00E9210B"/>
    <w:rsid w:val="00E9312D"/>
    <w:rsid w:val="00E94B90"/>
    <w:rsid w:val="00E97C1E"/>
    <w:rsid w:val="00EA0417"/>
    <w:rsid w:val="00EA3334"/>
    <w:rsid w:val="00EA44B3"/>
    <w:rsid w:val="00EA5509"/>
    <w:rsid w:val="00EB1CD4"/>
    <w:rsid w:val="00EB4B14"/>
    <w:rsid w:val="00EB6D8D"/>
    <w:rsid w:val="00EB72B0"/>
    <w:rsid w:val="00EC1155"/>
    <w:rsid w:val="00ED53C0"/>
    <w:rsid w:val="00ED5897"/>
    <w:rsid w:val="00ED5E2E"/>
    <w:rsid w:val="00ED69A8"/>
    <w:rsid w:val="00EE1160"/>
    <w:rsid w:val="00EE469C"/>
    <w:rsid w:val="00EE76F7"/>
    <w:rsid w:val="00EF656E"/>
    <w:rsid w:val="00EF6A7F"/>
    <w:rsid w:val="00F0217C"/>
    <w:rsid w:val="00F02A49"/>
    <w:rsid w:val="00F0326F"/>
    <w:rsid w:val="00F042F8"/>
    <w:rsid w:val="00F04618"/>
    <w:rsid w:val="00F054EC"/>
    <w:rsid w:val="00F06171"/>
    <w:rsid w:val="00F07100"/>
    <w:rsid w:val="00F130DF"/>
    <w:rsid w:val="00F22504"/>
    <w:rsid w:val="00F26BC7"/>
    <w:rsid w:val="00F36EBA"/>
    <w:rsid w:val="00F4359D"/>
    <w:rsid w:val="00F462B7"/>
    <w:rsid w:val="00F4788E"/>
    <w:rsid w:val="00F47A4F"/>
    <w:rsid w:val="00F50700"/>
    <w:rsid w:val="00F50986"/>
    <w:rsid w:val="00F50F8B"/>
    <w:rsid w:val="00F513E3"/>
    <w:rsid w:val="00F537AF"/>
    <w:rsid w:val="00F53C5F"/>
    <w:rsid w:val="00F5702E"/>
    <w:rsid w:val="00F615CD"/>
    <w:rsid w:val="00F6206A"/>
    <w:rsid w:val="00F633E8"/>
    <w:rsid w:val="00F63485"/>
    <w:rsid w:val="00F65B99"/>
    <w:rsid w:val="00F65C64"/>
    <w:rsid w:val="00F66064"/>
    <w:rsid w:val="00F670FB"/>
    <w:rsid w:val="00F72133"/>
    <w:rsid w:val="00F74A2F"/>
    <w:rsid w:val="00F75258"/>
    <w:rsid w:val="00F769D1"/>
    <w:rsid w:val="00F803AF"/>
    <w:rsid w:val="00F81294"/>
    <w:rsid w:val="00F8261F"/>
    <w:rsid w:val="00F84312"/>
    <w:rsid w:val="00F85FAD"/>
    <w:rsid w:val="00F872CF"/>
    <w:rsid w:val="00F957A0"/>
    <w:rsid w:val="00F972AE"/>
    <w:rsid w:val="00FA00C6"/>
    <w:rsid w:val="00FA2D62"/>
    <w:rsid w:val="00FA2D98"/>
    <w:rsid w:val="00FA3411"/>
    <w:rsid w:val="00FA35A9"/>
    <w:rsid w:val="00FA5463"/>
    <w:rsid w:val="00FA61C0"/>
    <w:rsid w:val="00FB0214"/>
    <w:rsid w:val="00FB1505"/>
    <w:rsid w:val="00FC397A"/>
    <w:rsid w:val="00FC4A2C"/>
    <w:rsid w:val="00FC51B0"/>
    <w:rsid w:val="00FC5B72"/>
    <w:rsid w:val="00FC5FEE"/>
    <w:rsid w:val="00FC6087"/>
    <w:rsid w:val="00FC7382"/>
    <w:rsid w:val="00FD2457"/>
    <w:rsid w:val="00FD2483"/>
    <w:rsid w:val="00FD26CF"/>
    <w:rsid w:val="00FE1921"/>
    <w:rsid w:val="00FE509F"/>
    <w:rsid w:val="00FE5798"/>
    <w:rsid w:val="00FE6DF5"/>
    <w:rsid w:val="00FE6F18"/>
    <w:rsid w:val="00FF3420"/>
    <w:rsid w:val="00FF5D4C"/>
    <w:rsid w:val="00FF6429"/>
    <w:rsid w:val="00FF6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10"/>
    <w:rPr>
      <w:sz w:val="24"/>
      <w:szCs w:val="24"/>
    </w:rPr>
  </w:style>
  <w:style w:type="paragraph" w:styleId="Heading1">
    <w:name w:val="heading 1"/>
    <w:basedOn w:val="Normal"/>
    <w:next w:val="Normal"/>
    <w:link w:val="Heading1Char"/>
    <w:qFormat/>
    <w:rsid w:val="005A6AF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2229B9"/>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4C33"/>
    <w:pPr>
      <w:tabs>
        <w:tab w:val="center" w:pos="4153"/>
        <w:tab w:val="right" w:pos="8306"/>
      </w:tabs>
    </w:pPr>
  </w:style>
  <w:style w:type="paragraph" w:styleId="Footer">
    <w:name w:val="footer"/>
    <w:basedOn w:val="Normal"/>
    <w:link w:val="FooterChar"/>
    <w:uiPriority w:val="99"/>
    <w:rsid w:val="00884C33"/>
    <w:pPr>
      <w:tabs>
        <w:tab w:val="center" w:pos="4153"/>
        <w:tab w:val="right" w:pos="8306"/>
      </w:tabs>
    </w:pPr>
  </w:style>
  <w:style w:type="character" w:styleId="PageNumber">
    <w:name w:val="page number"/>
    <w:basedOn w:val="DefaultParagraphFont"/>
    <w:rsid w:val="00884C33"/>
  </w:style>
  <w:style w:type="character" w:styleId="Hyperlink">
    <w:name w:val="Hyperlink"/>
    <w:uiPriority w:val="99"/>
    <w:rsid w:val="008C7B01"/>
    <w:rPr>
      <w:color w:val="0000FF"/>
      <w:u w:val="single"/>
    </w:rPr>
  </w:style>
  <w:style w:type="character" w:customStyle="1" w:styleId="Copyrighttext">
    <w:name w:val="Copyright text"/>
    <w:rsid w:val="005A6AF7"/>
    <w:rPr>
      <w:sz w:val="18"/>
    </w:rPr>
  </w:style>
  <w:style w:type="character" w:customStyle="1" w:styleId="Heading1Char">
    <w:name w:val="Heading 1 Char"/>
    <w:link w:val="Heading1"/>
    <w:rsid w:val="005A6AF7"/>
    <w:rPr>
      <w:rFonts w:ascii="Arial" w:hAnsi="Arial" w:cs="Arial"/>
      <w:b/>
      <w:bCs/>
      <w:kern w:val="32"/>
      <w:sz w:val="32"/>
      <w:szCs w:val="32"/>
      <w:lang w:val="en-AU" w:eastAsia="en-AU" w:bidi="ar-SA"/>
    </w:rPr>
  </w:style>
  <w:style w:type="paragraph" w:styleId="TOC1">
    <w:name w:val="toc 1"/>
    <w:basedOn w:val="Normal"/>
    <w:next w:val="Normal"/>
    <w:autoRedefine/>
    <w:uiPriority w:val="39"/>
    <w:rsid w:val="005A6AF7"/>
  </w:style>
  <w:style w:type="paragraph" w:styleId="TOC2">
    <w:name w:val="toc 2"/>
    <w:basedOn w:val="Normal"/>
    <w:next w:val="Normal"/>
    <w:autoRedefine/>
    <w:semiHidden/>
    <w:rsid w:val="005A6AF7"/>
    <w:pPr>
      <w:ind w:left="240"/>
    </w:pPr>
  </w:style>
  <w:style w:type="paragraph" w:styleId="BalloonText">
    <w:name w:val="Balloon Text"/>
    <w:basedOn w:val="Normal"/>
    <w:semiHidden/>
    <w:rsid w:val="00A33709"/>
    <w:rPr>
      <w:rFonts w:ascii="Tahoma" w:hAnsi="Tahoma" w:cs="Tahoma"/>
      <w:sz w:val="16"/>
      <w:szCs w:val="16"/>
    </w:rPr>
  </w:style>
  <w:style w:type="character" w:styleId="CommentReference">
    <w:name w:val="annotation reference"/>
    <w:semiHidden/>
    <w:rsid w:val="0023768A"/>
    <w:rPr>
      <w:sz w:val="16"/>
      <w:szCs w:val="16"/>
    </w:rPr>
  </w:style>
  <w:style w:type="paragraph" w:styleId="CommentText">
    <w:name w:val="annotation text"/>
    <w:basedOn w:val="Normal"/>
    <w:link w:val="CommentTextChar"/>
    <w:semiHidden/>
    <w:rsid w:val="0023768A"/>
    <w:rPr>
      <w:sz w:val="20"/>
      <w:szCs w:val="20"/>
    </w:rPr>
  </w:style>
  <w:style w:type="paragraph" w:styleId="CommentSubject">
    <w:name w:val="annotation subject"/>
    <w:basedOn w:val="CommentText"/>
    <w:next w:val="CommentText"/>
    <w:semiHidden/>
    <w:rsid w:val="0023768A"/>
    <w:rPr>
      <w:b/>
      <w:bCs/>
    </w:rPr>
  </w:style>
  <w:style w:type="character" w:styleId="FollowedHyperlink">
    <w:name w:val="FollowedHyperlink"/>
    <w:rsid w:val="002A23CA"/>
    <w:rPr>
      <w:color w:val="800080"/>
      <w:u w:val="single"/>
    </w:rPr>
  </w:style>
  <w:style w:type="paragraph" w:styleId="ListParagraph">
    <w:name w:val="List Paragraph"/>
    <w:basedOn w:val="Normal"/>
    <w:uiPriority w:val="34"/>
    <w:qFormat/>
    <w:rsid w:val="003900B6"/>
    <w:pPr>
      <w:ind w:left="720"/>
    </w:pPr>
  </w:style>
  <w:style w:type="character" w:customStyle="1" w:styleId="Heading3Char">
    <w:name w:val="Heading 3 Char"/>
    <w:link w:val="Heading3"/>
    <w:uiPriority w:val="9"/>
    <w:rsid w:val="002229B9"/>
    <w:rPr>
      <w:rFonts w:ascii="Cambria" w:hAnsi="Cambria"/>
      <w:b/>
      <w:bCs/>
      <w:sz w:val="26"/>
      <w:szCs w:val="26"/>
      <w:lang w:val="en-GB"/>
    </w:rPr>
  </w:style>
  <w:style w:type="paragraph" w:styleId="TOCHeading">
    <w:name w:val="TOC Heading"/>
    <w:basedOn w:val="Heading1"/>
    <w:next w:val="Normal"/>
    <w:uiPriority w:val="39"/>
    <w:semiHidden/>
    <w:unhideWhenUsed/>
    <w:qFormat/>
    <w:rsid w:val="007C4367"/>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3">
    <w:name w:val="toc 3"/>
    <w:basedOn w:val="Normal"/>
    <w:next w:val="Normal"/>
    <w:autoRedefine/>
    <w:uiPriority w:val="39"/>
    <w:rsid w:val="007C4367"/>
    <w:pPr>
      <w:ind w:left="480"/>
    </w:pPr>
  </w:style>
  <w:style w:type="character" w:customStyle="1" w:styleId="CommentTextChar">
    <w:name w:val="Comment Text Char"/>
    <w:link w:val="CommentText"/>
    <w:semiHidden/>
    <w:rsid w:val="0078799C"/>
  </w:style>
  <w:style w:type="character" w:customStyle="1" w:styleId="FooterChar">
    <w:name w:val="Footer Char"/>
    <w:link w:val="Footer"/>
    <w:uiPriority w:val="99"/>
    <w:rsid w:val="00F5702E"/>
    <w:rPr>
      <w:sz w:val="24"/>
      <w:szCs w:val="24"/>
    </w:rPr>
  </w:style>
  <w:style w:type="paragraph" w:styleId="Revision">
    <w:name w:val="Revision"/>
    <w:hidden/>
    <w:uiPriority w:val="99"/>
    <w:semiHidden/>
    <w:rsid w:val="00351F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ductsafety.gov.au/content/index.phtml/itemId/989975/fromItemId/9749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ductsafety.regulation@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FE61B-C738-485C-A666-86B9BE4C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4614</Words>
  <Characters>26714</Characters>
  <Application>Microsoft Office Word</Application>
  <DocSecurity>0</DocSecurity>
  <Lines>722</Lines>
  <Paragraphs>292</Paragraphs>
  <ScaleCrop>false</ScaleCrop>
  <HeadingPairs>
    <vt:vector size="2" baseType="variant">
      <vt:variant>
        <vt:lpstr>Title</vt:lpstr>
      </vt:variant>
      <vt:variant>
        <vt:i4>1</vt:i4>
      </vt:variant>
    </vt:vector>
  </HeadingPairs>
  <TitlesOfParts>
    <vt:vector size="1" baseType="lpstr">
      <vt:lpstr>AUSTRALIAN COMPETITION AND CONSUMER COMMISSION</vt:lpstr>
    </vt:vector>
  </TitlesOfParts>
  <Company>ACCC</Company>
  <LinksUpToDate>false</LinksUpToDate>
  <CharactersWithSpaces>31036</CharactersWithSpaces>
  <SharedDoc>false</SharedDoc>
  <HLinks>
    <vt:vector size="6" baseType="variant">
      <vt:variant>
        <vt:i4>5439595</vt:i4>
      </vt:variant>
      <vt:variant>
        <vt:i4>0</vt:i4>
      </vt:variant>
      <vt:variant>
        <vt:i4>0</vt:i4>
      </vt:variant>
      <vt:variant>
        <vt:i4>5</vt:i4>
      </vt:variant>
      <vt:variant>
        <vt:lpwstr>mailto:productsafety.regulation@accc.gov.au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dc:title>
  <dc:subject/>
  <dc:creator>iscot</dc:creator>
  <cp:keywords/>
  <dc:description/>
  <cp:lastModifiedBy>Scott, Ian</cp:lastModifiedBy>
  <cp:revision>3</cp:revision>
  <cp:lastPrinted>2013-08-29T07:09:00Z</cp:lastPrinted>
  <dcterms:created xsi:type="dcterms:W3CDTF">2013-08-29T07:09:00Z</dcterms:created>
  <dcterms:modified xsi:type="dcterms:W3CDTF">2013-08-29T07:28:00Z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\\cbrvpwxfs01\home$\ISCOT\ps second round discussion pap (D2013-00054004).docx</vt:lpwstr>
  </property>
</Properties>
</file>