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F7" w:rsidRPr="009C3704" w:rsidRDefault="00DD52B5" w:rsidP="00AC56F7">
      <w:pPr>
        <w:jc w:val="center"/>
        <w:rPr>
          <w:rFonts w:asciiTheme="minorHAnsi" w:hAnsiTheme="minorHAnsi" w:cstheme="minorHAnsi"/>
          <w:b/>
          <w:sz w:val="52"/>
          <w:szCs w:val="52"/>
        </w:rPr>
      </w:pPr>
      <w:r>
        <w:rPr>
          <w:rFonts w:asciiTheme="minorHAnsi" w:hAnsiTheme="minorHAnsi" w:cstheme="minorHAnsi"/>
          <w:noProof/>
          <w:sz w:val="52"/>
          <w:szCs w:val="52"/>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9pt;margin-top:28.05pt;width:254.2pt;height:222.45pt;z-index:-251658752;mso-position-horizontal-relative:page;mso-position-vertical-relative:page">
            <v:imagedata r:id="rId9" o:title="ACTcol"/>
            <w10:wrap anchorx="page" anchory="page"/>
          </v:shape>
        </w:pict>
      </w: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rPr>
          <w:rFonts w:asciiTheme="minorHAnsi" w:hAnsiTheme="minorHAnsi" w:cstheme="minorHAnsi"/>
          <w:b/>
          <w:sz w:val="52"/>
          <w:szCs w:val="52"/>
        </w:rPr>
      </w:pPr>
    </w:p>
    <w:p w:rsidR="00AC56F7" w:rsidRPr="009C3704" w:rsidRDefault="00AC56F7" w:rsidP="00AC56F7">
      <w:pP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r w:rsidRPr="009C3704">
        <w:rPr>
          <w:rFonts w:asciiTheme="minorHAnsi" w:hAnsiTheme="minorHAnsi" w:cstheme="minorHAnsi"/>
          <w:b/>
          <w:sz w:val="52"/>
          <w:szCs w:val="52"/>
        </w:rPr>
        <w:t xml:space="preserve">Review of the Consumer Product Safety Standard for </w:t>
      </w:r>
    </w:p>
    <w:p w:rsidR="00AC56F7" w:rsidRPr="009C3704" w:rsidRDefault="001F5CA8" w:rsidP="00AC56F7">
      <w:pPr>
        <w:jc w:val="center"/>
        <w:rPr>
          <w:rFonts w:asciiTheme="minorHAnsi" w:hAnsiTheme="minorHAnsi" w:cstheme="minorHAnsi"/>
          <w:b/>
          <w:sz w:val="52"/>
          <w:szCs w:val="52"/>
        </w:rPr>
      </w:pPr>
      <w:r w:rsidRPr="009C3704">
        <w:rPr>
          <w:rFonts w:asciiTheme="minorHAnsi" w:hAnsiTheme="minorHAnsi" w:cstheme="minorHAnsi"/>
          <w:b/>
          <w:sz w:val="52"/>
          <w:szCs w:val="52"/>
        </w:rPr>
        <w:t>Child Restraints</w:t>
      </w:r>
    </w:p>
    <w:p w:rsidR="00AC56F7" w:rsidRPr="009C3704" w:rsidRDefault="00AC56F7" w:rsidP="00AC56F7">
      <w:pPr>
        <w:jc w:val="center"/>
        <w:rPr>
          <w:rFonts w:asciiTheme="minorHAnsi" w:hAnsiTheme="minorHAnsi" w:cstheme="minorHAnsi"/>
          <w:b/>
          <w:sz w:val="52"/>
          <w:szCs w:val="52"/>
        </w:rPr>
      </w:pPr>
    </w:p>
    <w:p w:rsidR="00AC56F7" w:rsidRPr="009C3704" w:rsidRDefault="00AC56F7" w:rsidP="00AC56F7">
      <w:pPr>
        <w:jc w:val="center"/>
        <w:rPr>
          <w:rFonts w:asciiTheme="minorHAnsi" w:hAnsiTheme="minorHAnsi" w:cstheme="minorHAnsi"/>
          <w:b/>
          <w:sz w:val="52"/>
          <w:szCs w:val="52"/>
        </w:rPr>
      </w:pPr>
    </w:p>
    <w:p w:rsidR="00AC56F7" w:rsidRPr="009C3704" w:rsidRDefault="00B061BA" w:rsidP="00AC56F7">
      <w:pPr>
        <w:jc w:val="center"/>
        <w:rPr>
          <w:rFonts w:asciiTheme="minorHAnsi" w:hAnsiTheme="minorHAnsi" w:cstheme="minorHAnsi"/>
          <w:b/>
          <w:sz w:val="36"/>
          <w:szCs w:val="36"/>
        </w:rPr>
      </w:pPr>
      <w:r>
        <w:rPr>
          <w:rFonts w:asciiTheme="minorHAnsi" w:hAnsiTheme="minorHAnsi" w:cstheme="minorHAnsi"/>
          <w:b/>
          <w:sz w:val="36"/>
          <w:szCs w:val="36"/>
        </w:rPr>
        <w:t>23</w:t>
      </w:r>
      <w:r w:rsidR="007C3AB2">
        <w:rPr>
          <w:rFonts w:asciiTheme="minorHAnsi" w:hAnsiTheme="minorHAnsi" w:cstheme="minorHAnsi"/>
          <w:b/>
          <w:sz w:val="36"/>
          <w:szCs w:val="36"/>
        </w:rPr>
        <w:t xml:space="preserve"> June</w:t>
      </w:r>
      <w:r w:rsidR="001F5CA8" w:rsidRPr="009C3704">
        <w:rPr>
          <w:rFonts w:asciiTheme="minorHAnsi" w:hAnsiTheme="minorHAnsi" w:cstheme="minorHAnsi"/>
          <w:b/>
          <w:sz w:val="36"/>
          <w:szCs w:val="36"/>
        </w:rPr>
        <w:t xml:space="preserve"> 2014</w:t>
      </w:r>
    </w:p>
    <w:p w:rsidR="00AC56F7" w:rsidRPr="009C3704" w:rsidRDefault="00AC56F7" w:rsidP="00AC56F7">
      <w:pPr>
        <w:jc w:val="center"/>
        <w:rPr>
          <w:rFonts w:asciiTheme="minorHAnsi" w:hAnsiTheme="minorHAnsi" w:cstheme="minorHAnsi"/>
          <w:sz w:val="36"/>
        </w:rPr>
      </w:pPr>
    </w:p>
    <w:p w:rsidR="00AC56F7" w:rsidRPr="009C3704" w:rsidRDefault="00AC56F7" w:rsidP="00AC56F7">
      <w:pPr>
        <w:jc w:val="center"/>
        <w:rPr>
          <w:rFonts w:asciiTheme="minorHAnsi" w:hAnsiTheme="minorHAnsi" w:cstheme="minorHAnsi"/>
          <w:sz w:val="36"/>
        </w:rPr>
      </w:pPr>
    </w:p>
    <w:p w:rsidR="00AC56F7" w:rsidRPr="009C3704" w:rsidRDefault="00AC56F7" w:rsidP="00AC56F7">
      <w:pPr>
        <w:jc w:val="center"/>
        <w:rPr>
          <w:rFonts w:asciiTheme="minorHAnsi" w:hAnsiTheme="minorHAnsi" w:cstheme="minorHAnsi"/>
          <w:sz w:val="36"/>
        </w:rPr>
      </w:pPr>
    </w:p>
    <w:p w:rsidR="00AC56F7" w:rsidRPr="009C3704" w:rsidRDefault="00AC56F7" w:rsidP="00AC56F7">
      <w:pPr>
        <w:rPr>
          <w:rFonts w:asciiTheme="minorHAnsi" w:hAnsiTheme="minorHAnsi" w:cstheme="minorHAnsi"/>
        </w:rPr>
        <w:sectPr w:rsidR="00AC56F7" w:rsidRPr="009C3704" w:rsidSect="00AC56F7">
          <w:headerReference w:type="even" r:id="rId10"/>
          <w:headerReference w:type="default" r:id="rId11"/>
          <w:footerReference w:type="even" r:id="rId12"/>
          <w:footerReference w:type="default" r:id="rId13"/>
          <w:headerReference w:type="first" r:id="rId14"/>
          <w:pgSz w:w="11909" w:h="16834" w:code="9"/>
          <w:pgMar w:top="1440" w:right="1440" w:bottom="1440" w:left="1440" w:header="794" w:footer="1440" w:gutter="0"/>
          <w:pgNumType w:fmt="numberInDash"/>
          <w:cols w:space="720"/>
          <w:titlePg/>
          <w:docGrid w:linePitch="326"/>
        </w:sectPr>
      </w:pPr>
    </w:p>
    <w:p w:rsidR="00AC56F7" w:rsidRPr="009C3704" w:rsidRDefault="00AC56F7" w:rsidP="00AC56F7">
      <w:pPr>
        <w:rPr>
          <w:rFonts w:asciiTheme="minorHAnsi" w:hAnsiTheme="minorHAnsi" w:cstheme="minorHAnsi"/>
        </w:rPr>
      </w:pPr>
    </w:p>
    <w:p w:rsidR="00AC56F7" w:rsidRPr="009C3704" w:rsidRDefault="00AC56F7" w:rsidP="00AC56F7">
      <w:pPr>
        <w:pStyle w:val="TOCHeading"/>
        <w:rPr>
          <w:rFonts w:asciiTheme="minorHAnsi" w:hAnsiTheme="minorHAnsi" w:cstheme="minorHAnsi"/>
        </w:rPr>
      </w:pPr>
      <w:r w:rsidRPr="009C3704">
        <w:rPr>
          <w:rFonts w:asciiTheme="minorHAnsi" w:hAnsiTheme="minorHAnsi" w:cstheme="minorHAnsi"/>
        </w:rPr>
        <w:t>Contents</w:t>
      </w:r>
    </w:p>
    <w:p w:rsidR="00AB79CF" w:rsidRDefault="00AC56F7">
      <w:pPr>
        <w:pStyle w:val="TOC1"/>
        <w:tabs>
          <w:tab w:val="left" w:pos="440"/>
          <w:tab w:val="right" w:leader="dot" w:pos="9019"/>
        </w:tabs>
        <w:rPr>
          <w:rFonts w:asciiTheme="minorHAnsi" w:eastAsiaTheme="minorEastAsia" w:hAnsiTheme="minorHAnsi" w:cstheme="minorBidi"/>
          <w:noProof/>
          <w:sz w:val="22"/>
          <w:szCs w:val="22"/>
          <w:lang w:val="en-AU"/>
        </w:rPr>
      </w:pPr>
      <w:r w:rsidRPr="009C3704">
        <w:rPr>
          <w:rFonts w:asciiTheme="minorHAnsi" w:hAnsiTheme="minorHAnsi" w:cstheme="minorHAnsi"/>
        </w:rPr>
        <w:fldChar w:fldCharType="begin"/>
      </w:r>
      <w:r w:rsidRPr="009C3704">
        <w:rPr>
          <w:rFonts w:asciiTheme="minorHAnsi" w:hAnsiTheme="minorHAnsi" w:cstheme="minorHAnsi"/>
        </w:rPr>
        <w:instrText xml:space="preserve"> TOC \o "1-3" \h \z \u </w:instrText>
      </w:r>
      <w:r w:rsidRPr="009C3704">
        <w:rPr>
          <w:rFonts w:asciiTheme="minorHAnsi" w:hAnsiTheme="minorHAnsi" w:cstheme="minorHAnsi"/>
        </w:rPr>
        <w:fldChar w:fldCharType="separate"/>
      </w:r>
      <w:hyperlink w:anchor="_Toc391378920" w:history="1">
        <w:r w:rsidR="00AB79CF" w:rsidRPr="00ED3B5E">
          <w:rPr>
            <w:rStyle w:val="Hyperlink"/>
            <w:rFonts w:cstheme="minorHAnsi"/>
            <w:noProof/>
          </w:rPr>
          <w:t>1.</w:t>
        </w:r>
        <w:r w:rsidR="00AB79CF">
          <w:rPr>
            <w:rFonts w:asciiTheme="minorHAnsi" w:eastAsiaTheme="minorEastAsia" w:hAnsiTheme="minorHAnsi" w:cstheme="minorBidi"/>
            <w:noProof/>
            <w:sz w:val="22"/>
            <w:szCs w:val="22"/>
            <w:lang w:val="en-AU"/>
          </w:rPr>
          <w:tab/>
        </w:r>
        <w:r w:rsidR="00AB79CF" w:rsidRPr="00ED3B5E">
          <w:rPr>
            <w:rStyle w:val="Hyperlink"/>
            <w:rFonts w:cstheme="minorHAnsi"/>
            <w:noProof/>
          </w:rPr>
          <w:t>Introduction</w:t>
        </w:r>
        <w:r w:rsidR="00AB79CF">
          <w:rPr>
            <w:noProof/>
            <w:webHidden/>
          </w:rPr>
          <w:tab/>
        </w:r>
        <w:r w:rsidR="00AB79CF">
          <w:rPr>
            <w:noProof/>
            <w:webHidden/>
          </w:rPr>
          <w:fldChar w:fldCharType="begin"/>
        </w:r>
        <w:r w:rsidR="00AB79CF">
          <w:rPr>
            <w:noProof/>
            <w:webHidden/>
          </w:rPr>
          <w:instrText xml:space="preserve"> PAGEREF _Toc391378920 \h </w:instrText>
        </w:r>
        <w:r w:rsidR="00AB79CF">
          <w:rPr>
            <w:noProof/>
            <w:webHidden/>
          </w:rPr>
        </w:r>
        <w:r w:rsidR="00AB79CF">
          <w:rPr>
            <w:noProof/>
            <w:webHidden/>
          </w:rPr>
          <w:fldChar w:fldCharType="separate"/>
        </w:r>
        <w:r w:rsidR="00DD52B5">
          <w:rPr>
            <w:noProof/>
            <w:webHidden/>
          </w:rPr>
          <w:t>- 3 -</w:t>
        </w:r>
        <w:r w:rsidR="00AB79CF">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1" w:history="1">
        <w:r w:rsidRPr="00ED3B5E">
          <w:rPr>
            <w:rStyle w:val="Hyperlink"/>
            <w:rFonts w:cstheme="minorHAnsi"/>
            <w:noProof/>
          </w:rPr>
          <w:t>2.</w:t>
        </w:r>
        <w:r>
          <w:rPr>
            <w:rFonts w:asciiTheme="minorHAnsi" w:eastAsiaTheme="minorEastAsia" w:hAnsiTheme="minorHAnsi" w:cstheme="minorBidi"/>
            <w:noProof/>
            <w:sz w:val="22"/>
            <w:szCs w:val="22"/>
            <w:lang w:val="en-AU"/>
          </w:rPr>
          <w:tab/>
        </w:r>
        <w:r w:rsidRPr="00ED3B5E">
          <w:rPr>
            <w:rStyle w:val="Hyperlink"/>
            <w:rFonts w:cstheme="minorHAnsi"/>
            <w:noProof/>
          </w:rPr>
          <w:t>Purpose</w:t>
        </w:r>
        <w:r>
          <w:rPr>
            <w:noProof/>
            <w:webHidden/>
          </w:rPr>
          <w:tab/>
        </w:r>
        <w:r>
          <w:rPr>
            <w:noProof/>
            <w:webHidden/>
          </w:rPr>
          <w:fldChar w:fldCharType="begin"/>
        </w:r>
        <w:r>
          <w:rPr>
            <w:noProof/>
            <w:webHidden/>
          </w:rPr>
          <w:instrText xml:space="preserve"> PAGEREF _Toc391378921 \h </w:instrText>
        </w:r>
        <w:r>
          <w:rPr>
            <w:noProof/>
            <w:webHidden/>
          </w:rPr>
        </w:r>
        <w:r>
          <w:rPr>
            <w:noProof/>
            <w:webHidden/>
          </w:rPr>
          <w:fldChar w:fldCharType="separate"/>
        </w:r>
        <w:r w:rsidR="00DD52B5">
          <w:rPr>
            <w:noProof/>
            <w:webHidden/>
          </w:rPr>
          <w:t>- 3 -</w:t>
        </w:r>
        <w:r>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2" w:history="1">
        <w:r w:rsidRPr="00ED3B5E">
          <w:rPr>
            <w:rStyle w:val="Hyperlink"/>
            <w:rFonts w:cstheme="minorHAnsi"/>
            <w:noProof/>
          </w:rPr>
          <w:t>3.</w:t>
        </w:r>
        <w:r>
          <w:rPr>
            <w:rFonts w:asciiTheme="minorHAnsi" w:eastAsiaTheme="minorEastAsia" w:hAnsiTheme="minorHAnsi" w:cstheme="minorBidi"/>
            <w:noProof/>
            <w:sz w:val="22"/>
            <w:szCs w:val="22"/>
            <w:lang w:val="en-AU"/>
          </w:rPr>
          <w:tab/>
        </w:r>
        <w:r w:rsidRPr="00ED3B5E">
          <w:rPr>
            <w:rStyle w:val="Hyperlink"/>
            <w:rFonts w:cstheme="minorHAnsi"/>
            <w:noProof/>
          </w:rPr>
          <w:t>Background</w:t>
        </w:r>
        <w:r>
          <w:rPr>
            <w:noProof/>
            <w:webHidden/>
          </w:rPr>
          <w:tab/>
        </w:r>
        <w:r>
          <w:rPr>
            <w:noProof/>
            <w:webHidden/>
          </w:rPr>
          <w:fldChar w:fldCharType="begin"/>
        </w:r>
        <w:r>
          <w:rPr>
            <w:noProof/>
            <w:webHidden/>
          </w:rPr>
          <w:instrText xml:space="preserve"> PAGEREF _Toc391378922 \h </w:instrText>
        </w:r>
        <w:r>
          <w:rPr>
            <w:noProof/>
            <w:webHidden/>
          </w:rPr>
        </w:r>
        <w:r>
          <w:rPr>
            <w:noProof/>
            <w:webHidden/>
          </w:rPr>
          <w:fldChar w:fldCharType="separate"/>
        </w:r>
        <w:r w:rsidR="00DD52B5">
          <w:rPr>
            <w:noProof/>
            <w:webHidden/>
          </w:rPr>
          <w:t>- 4 -</w:t>
        </w:r>
        <w:r>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3" w:history="1">
        <w:r w:rsidRPr="00ED3B5E">
          <w:rPr>
            <w:rStyle w:val="Hyperlink"/>
            <w:rFonts w:cstheme="minorHAnsi"/>
            <w:noProof/>
          </w:rPr>
          <w:t>5.</w:t>
        </w:r>
        <w:r>
          <w:rPr>
            <w:rFonts w:asciiTheme="minorHAnsi" w:eastAsiaTheme="minorEastAsia" w:hAnsiTheme="minorHAnsi" w:cstheme="minorBidi"/>
            <w:noProof/>
            <w:sz w:val="22"/>
            <w:szCs w:val="22"/>
            <w:lang w:val="en-AU"/>
          </w:rPr>
          <w:tab/>
        </w:r>
        <w:r w:rsidRPr="00ED3B5E">
          <w:rPr>
            <w:rStyle w:val="Hyperlink"/>
            <w:rFonts w:cstheme="minorHAnsi"/>
            <w:noProof/>
          </w:rPr>
          <w:t>The Australian consumer product safety system</w:t>
        </w:r>
        <w:r>
          <w:rPr>
            <w:noProof/>
            <w:webHidden/>
          </w:rPr>
          <w:tab/>
        </w:r>
        <w:r>
          <w:rPr>
            <w:noProof/>
            <w:webHidden/>
          </w:rPr>
          <w:fldChar w:fldCharType="begin"/>
        </w:r>
        <w:r>
          <w:rPr>
            <w:noProof/>
            <w:webHidden/>
          </w:rPr>
          <w:instrText xml:space="preserve"> PAGEREF _Toc391378923 \h </w:instrText>
        </w:r>
        <w:r>
          <w:rPr>
            <w:noProof/>
            <w:webHidden/>
          </w:rPr>
        </w:r>
        <w:r>
          <w:rPr>
            <w:noProof/>
            <w:webHidden/>
          </w:rPr>
          <w:fldChar w:fldCharType="separate"/>
        </w:r>
        <w:r w:rsidR="00DD52B5">
          <w:rPr>
            <w:noProof/>
            <w:webHidden/>
          </w:rPr>
          <w:t>- 6 -</w:t>
        </w:r>
        <w:r>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4" w:history="1">
        <w:r w:rsidRPr="00ED3B5E">
          <w:rPr>
            <w:rStyle w:val="Hyperlink"/>
            <w:rFonts w:cstheme="minorHAnsi"/>
            <w:noProof/>
          </w:rPr>
          <w:t>6.</w:t>
        </w:r>
        <w:r>
          <w:rPr>
            <w:rFonts w:asciiTheme="minorHAnsi" w:eastAsiaTheme="minorEastAsia" w:hAnsiTheme="minorHAnsi" w:cstheme="minorBidi"/>
            <w:noProof/>
            <w:sz w:val="22"/>
            <w:szCs w:val="22"/>
            <w:lang w:val="en-AU"/>
          </w:rPr>
          <w:tab/>
        </w:r>
        <w:r w:rsidRPr="00ED3B5E">
          <w:rPr>
            <w:rStyle w:val="Hyperlink"/>
            <w:rFonts w:cstheme="minorHAnsi"/>
            <w:noProof/>
          </w:rPr>
          <w:t>Child restraint ‘supply’ and ‘use’ laws</w:t>
        </w:r>
        <w:r>
          <w:rPr>
            <w:noProof/>
            <w:webHidden/>
          </w:rPr>
          <w:tab/>
        </w:r>
        <w:r>
          <w:rPr>
            <w:noProof/>
            <w:webHidden/>
          </w:rPr>
          <w:fldChar w:fldCharType="begin"/>
        </w:r>
        <w:r>
          <w:rPr>
            <w:noProof/>
            <w:webHidden/>
          </w:rPr>
          <w:instrText xml:space="preserve"> PAGEREF _Toc391378924 \h </w:instrText>
        </w:r>
        <w:r>
          <w:rPr>
            <w:noProof/>
            <w:webHidden/>
          </w:rPr>
        </w:r>
        <w:r>
          <w:rPr>
            <w:noProof/>
            <w:webHidden/>
          </w:rPr>
          <w:fldChar w:fldCharType="separate"/>
        </w:r>
        <w:r w:rsidR="00DD52B5">
          <w:rPr>
            <w:noProof/>
            <w:webHidden/>
          </w:rPr>
          <w:t>- 6 -</w:t>
        </w:r>
        <w:r>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5" w:history="1">
        <w:r w:rsidRPr="00ED3B5E">
          <w:rPr>
            <w:rStyle w:val="Hyperlink"/>
            <w:rFonts w:cstheme="minorHAnsi"/>
            <w:noProof/>
          </w:rPr>
          <w:t>7.</w:t>
        </w:r>
        <w:r>
          <w:rPr>
            <w:rFonts w:asciiTheme="minorHAnsi" w:eastAsiaTheme="minorEastAsia" w:hAnsiTheme="minorHAnsi" w:cstheme="minorBidi"/>
            <w:noProof/>
            <w:sz w:val="22"/>
            <w:szCs w:val="22"/>
            <w:lang w:val="en-AU"/>
          </w:rPr>
          <w:tab/>
        </w:r>
        <w:r w:rsidRPr="00ED3B5E">
          <w:rPr>
            <w:rStyle w:val="Hyperlink"/>
            <w:rFonts w:cstheme="minorHAnsi"/>
            <w:noProof/>
          </w:rPr>
          <w:t>Review of the safety standard</w:t>
        </w:r>
        <w:r>
          <w:rPr>
            <w:noProof/>
            <w:webHidden/>
          </w:rPr>
          <w:tab/>
        </w:r>
        <w:r>
          <w:rPr>
            <w:noProof/>
            <w:webHidden/>
          </w:rPr>
          <w:fldChar w:fldCharType="begin"/>
        </w:r>
        <w:r>
          <w:rPr>
            <w:noProof/>
            <w:webHidden/>
          </w:rPr>
          <w:instrText xml:space="preserve"> PAGEREF _Toc391378925 \h </w:instrText>
        </w:r>
        <w:r>
          <w:rPr>
            <w:noProof/>
            <w:webHidden/>
          </w:rPr>
        </w:r>
        <w:r>
          <w:rPr>
            <w:noProof/>
            <w:webHidden/>
          </w:rPr>
          <w:fldChar w:fldCharType="separate"/>
        </w:r>
        <w:r w:rsidR="00DD52B5">
          <w:rPr>
            <w:noProof/>
            <w:webHidden/>
          </w:rPr>
          <w:t>- 7 -</w:t>
        </w:r>
        <w:r>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6" w:history="1">
        <w:r w:rsidRPr="00ED3B5E">
          <w:rPr>
            <w:rStyle w:val="Hyperlink"/>
            <w:rFonts w:cstheme="minorHAnsi"/>
            <w:noProof/>
          </w:rPr>
          <w:t>8.</w:t>
        </w:r>
        <w:r>
          <w:rPr>
            <w:rFonts w:asciiTheme="minorHAnsi" w:eastAsiaTheme="minorEastAsia" w:hAnsiTheme="minorHAnsi" w:cstheme="minorBidi"/>
            <w:noProof/>
            <w:sz w:val="22"/>
            <w:szCs w:val="22"/>
            <w:lang w:val="en-AU"/>
          </w:rPr>
          <w:tab/>
        </w:r>
        <w:r w:rsidRPr="00ED3B5E">
          <w:rPr>
            <w:rStyle w:val="Hyperlink"/>
            <w:rFonts w:cstheme="minorHAnsi"/>
            <w:noProof/>
          </w:rPr>
          <w:t>Proposed option</w:t>
        </w:r>
        <w:r>
          <w:rPr>
            <w:noProof/>
            <w:webHidden/>
          </w:rPr>
          <w:tab/>
        </w:r>
        <w:r>
          <w:rPr>
            <w:noProof/>
            <w:webHidden/>
          </w:rPr>
          <w:fldChar w:fldCharType="begin"/>
        </w:r>
        <w:r>
          <w:rPr>
            <w:noProof/>
            <w:webHidden/>
          </w:rPr>
          <w:instrText xml:space="preserve"> PAGEREF _Toc391378926 \h </w:instrText>
        </w:r>
        <w:r>
          <w:rPr>
            <w:noProof/>
            <w:webHidden/>
          </w:rPr>
        </w:r>
        <w:r>
          <w:rPr>
            <w:noProof/>
            <w:webHidden/>
          </w:rPr>
          <w:fldChar w:fldCharType="separate"/>
        </w:r>
        <w:r w:rsidR="00DD52B5">
          <w:rPr>
            <w:noProof/>
            <w:webHidden/>
          </w:rPr>
          <w:t>- 10 -</w:t>
        </w:r>
        <w:r>
          <w:rPr>
            <w:noProof/>
            <w:webHidden/>
          </w:rPr>
          <w:fldChar w:fldCharType="end"/>
        </w:r>
      </w:hyperlink>
    </w:p>
    <w:p w:rsidR="00AB79CF" w:rsidRDefault="00AB79CF">
      <w:pPr>
        <w:pStyle w:val="TOC1"/>
        <w:tabs>
          <w:tab w:val="left" w:pos="440"/>
          <w:tab w:val="right" w:leader="dot" w:pos="9019"/>
        </w:tabs>
        <w:rPr>
          <w:rFonts w:asciiTheme="minorHAnsi" w:eastAsiaTheme="minorEastAsia" w:hAnsiTheme="minorHAnsi" w:cstheme="minorBidi"/>
          <w:noProof/>
          <w:sz w:val="22"/>
          <w:szCs w:val="22"/>
          <w:lang w:val="en-AU"/>
        </w:rPr>
      </w:pPr>
      <w:hyperlink w:anchor="_Toc391378927" w:history="1">
        <w:r w:rsidRPr="00ED3B5E">
          <w:rPr>
            <w:rStyle w:val="Hyperlink"/>
            <w:rFonts w:cstheme="minorHAnsi"/>
            <w:noProof/>
          </w:rPr>
          <w:t>9.</w:t>
        </w:r>
        <w:r>
          <w:rPr>
            <w:rFonts w:asciiTheme="minorHAnsi" w:eastAsiaTheme="minorEastAsia" w:hAnsiTheme="minorHAnsi" w:cstheme="minorBidi"/>
            <w:noProof/>
            <w:sz w:val="22"/>
            <w:szCs w:val="22"/>
            <w:lang w:val="en-AU"/>
          </w:rPr>
          <w:tab/>
        </w:r>
        <w:r w:rsidRPr="00ED3B5E">
          <w:rPr>
            <w:rStyle w:val="Hyperlink"/>
            <w:rFonts w:cstheme="minorHAnsi"/>
            <w:noProof/>
          </w:rPr>
          <w:t>Consultation</w:t>
        </w:r>
        <w:r>
          <w:rPr>
            <w:noProof/>
            <w:webHidden/>
          </w:rPr>
          <w:tab/>
        </w:r>
        <w:r>
          <w:rPr>
            <w:noProof/>
            <w:webHidden/>
          </w:rPr>
          <w:fldChar w:fldCharType="begin"/>
        </w:r>
        <w:r>
          <w:rPr>
            <w:noProof/>
            <w:webHidden/>
          </w:rPr>
          <w:instrText xml:space="preserve"> PAGEREF _Toc391378927 \h </w:instrText>
        </w:r>
        <w:r>
          <w:rPr>
            <w:noProof/>
            <w:webHidden/>
          </w:rPr>
        </w:r>
        <w:r>
          <w:rPr>
            <w:noProof/>
            <w:webHidden/>
          </w:rPr>
          <w:fldChar w:fldCharType="separate"/>
        </w:r>
        <w:r w:rsidR="00DD52B5">
          <w:rPr>
            <w:noProof/>
            <w:webHidden/>
          </w:rPr>
          <w:t>- 10 -</w:t>
        </w:r>
        <w:r>
          <w:rPr>
            <w:noProof/>
            <w:webHidden/>
          </w:rPr>
          <w:fldChar w:fldCharType="end"/>
        </w:r>
      </w:hyperlink>
    </w:p>
    <w:p w:rsidR="00AC56F7" w:rsidRPr="009C3704" w:rsidRDefault="00AC56F7" w:rsidP="00AC56F7">
      <w:pPr>
        <w:rPr>
          <w:rFonts w:asciiTheme="minorHAnsi" w:hAnsiTheme="minorHAnsi" w:cstheme="minorHAnsi"/>
        </w:rPr>
      </w:pPr>
      <w:r w:rsidRPr="009C3704">
        <w:rPr>
          <w:rFonts w:asciiTheme="minorHAnsi" w:hAnsiTheme="minorHAnsi" w:cstheme="minorHAnsi"/>
        </w:rPr>
        <w:fldChar w:fldCharType="end"/>
      </w: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9C3704">
      <w:pPr>
        <w:pBdr>
          <w:top w:val="single" w:sz="4" w:space="1" w:color="auto"/>
          <w:left w:val="single" w:sz="4" w:space="1" w:color="auto"/>
          <w:bottom w:val="single" w:sz="4" w:space="1" w:color="auto"/>
          <w:right w:val="single" w:sz="4" w:space="1" w:color="auto"/>
        </w:pBdr>
        <w:spacing w:after="120"/>
        <w:jc w:val="center"/>
        <w:rPr>
          <w:rFonts w:asciiTheme="minorHAnsi" w:hAnsiTheme="minorHAnsi" w:cstheme="minorHAnsi"/>
          <w:sz w:val="22"/>
          <w:szCs w:val="22"/>
          <w:u w:val="single"/>
        </w:rPr>
      </w:pPr>
    </w:p>
    <w:p w:rsidR="00AC56F7" w:rsidRPr="009C3704" w:rsidRDefault="00AC56F7" w:rsidP="009C3704">
      <w:pPr>
        <w:pBdr>
          <w:top w:val="single" w:sz="4" w:space="1" w:color="auto"/>
          <w:left w:val="single" w:sz="4" w:space="1" w:color="auto"/>
          <w:bottom w:val="single" w:sz="4" w:space="1" w:color="auto"/>
          <w:right w:val="single" w:sz="4" w:space="1" w:color="auto"/>
        </w:pBdr>
        <w:spacing w:after="120"/>
        <w:jc w:val="center"/>
        <w:rPr>
          <w:rFonts w:asciiTheme="minorHAnsi" w:hAnsiTheme="minorHAnsi" w:cstheme="minorHAnsi"/>
          <w:sz w:val="22"/>
          <w:szCs w:val="22"/>
          <w:u w:val="single"/>
        </w:rPr>
      </w:pPr>
      <w:r w:rsidRPr="009C3704">
        <w:rPr>
          <w:rFonts w:asciiTheme="minorHAnsi" w:hAnsiTheme="minorHAnsi" w:cstheme="minorHAnsi"/>
          <w:sz w:val="22"/>
          <w:szCs w:val="22"/>
          <w:u w:val="single"/>
        </w:rPr>
        <w:t>Disclaimer</w:t>
      </w:r>
    </w:p>
    <w:p w:rsidR="00AC56F7" w:rsidRPr="009C3704" w:rsidRDefault="00AC56F7" w:rsidP="009C3704">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9C3704">
        <w:rPr>
          <w:rFonts w:asciiTheme="minorHAnsi" w:hAnsiTheme="minorHAnsi" w:cstheme="minorHAnsi"/>
          <w:sz w:val="22"/>
          <w:szCs w:val="22"/>
        </w:rPr>
        <w:t xml:space="preserve">The Australian Competition &amp; Consumer Commission (ACCC) has developed this consultation paper to seek the views of key Australian stakeholders about the proposed changes to the mandatory standard for </w:t>
      </w:r>
      <w:r w:rsidR="00E26D95" w:rsidRPr="009C3704">
        <w:rPr>
          <w:rFonts w:asciiTheme="minorHAnsi" w:hAnsiTheme="minorHAnsi" w:cstheme="minorHAnsi"/>
          <w:sz w:val="22"/>
          <w:szCs w:val="22"/>
        </w:rPr>
        <w:t>child restraints for use in motor vehicles</w:t>
      </w:r>
      <w:r w:rsidRPr="009C3704">
        <w:rPr>
          <w:rFonts w:asciiTheme="minorHAnsi" w:hAnsiTheme="minorHAnsi" w:cstheme="minorHAnsi"/>
          <w:sz w:val="22"/>
          <w:szCs w:val="22"/>
        </w:rPr>
        <w:t xml:space="preserve"> (this includes Commonwealth, State/Territory government agencies, NGOs and industry stakeholders).</w:t>
      </w:r>
    </w:p>
    <w:p w:rsidR="00AC56F7" w:rsidRPr="009C3704" w:rsidRDefault="00AC56F7" w:rsidP="009C3704">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p>
    <w:p w:rsidR="009C3704" w:rsidRPr="009C3704" w:rsidRDefault="009C3704" w:rsidP="009C3704">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9C3704">
        <w:rPr>
          <w:rFonts w:asciiTheme="minorHAnsi" w:hAnsiTheme="minorHAnsi" w:cstheme="minorHAnsi"/>
          <w:sz w:val="22"/>
          <w:szCs w:val="22"/>
        </w:rPr>
        <w:t xml:space="preserve">No final policy decisions have been made about the proposed changes. </w:t>
      </w:r>
    </w:p>
    <w:p w:rsidR="009C3704" w:rsidRPr="009C3704" w:rsidRDefault="009C3704" w:rsidP="009C3704">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p>
    <w:p w:rsidR="00AC56F7" w:rsidRPr="009C3704" w:rsidRDefault="00AC56F7" w:rsidP="009C3704">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9C3704">
        <w:rPr>
          <w:rFonts w:asciiTheme="minorHAnsi" w:hAnsiTheme="minorHAnsi" w:cstheme="minorHAnsi"/>
          <w:sz w:val="22"/>
          <w:szCs w:val="22"/>
        </w:rPr>
        <w:t xml:space="preserve">The ACCC will consider all feedback provided in response to this consultation in developing </w:t>
      </w:r>
      <w:r w:rsidR="00823E13" w:rsidRPr="009C3704">
        <w:rPr>
          <w:rFonts w:asciiTheme="minorHAnsi" w:hAnsiTheme="minorHAnsi" w:cstheme="minorHAnsi"/>
          <w:sz w:val="22"/>
          <w:szCs w:val="22"/>
        </w:rPr>
        <w:t>its</w:t>
      </w:r>
      <w:r w:rsidRPr="009C3704">
        <w:rPr>
          <w:rFonts w:asciiTheme="minorHAnsi" w:hAnsiTheme="minorHAnsi" w:cstheme="minorHAnsi"/>
          <w:sz w:val="22"/>
          <w:szCs w:val="22"/>
        </w:rPr>
        <w:t xml:space="preserve"> </w:t>
      </w:r>
      <w:r w:rsidR="00E26D95" w:rsidRPr="009C3704">
        <w:rPr>
          <w:rFonts w:asciiTheme="minorHAnsi" w:hAnsiTheme="minorHAnsi" w:cstheme="minorHAnsi"/>
          <w:sz w:val="22"/>
          <w:szCs w:val="22"/>
        </w:rPr>
        <w:t xml:space="preserve">recommendation to the </w:t>
      </w:r>
      <w:r w:rsidR="009C3704" w:rsidRPr="009C3704">
        <w:rPr>
          <w:rFonts w:ascii="Calibri" w:hAnsi="Calibri" w:cs="Calibri"/>
          <w:sz w:val="22"/>
          <w:szCs w:val="22"/>
        </w:rPr>
        <w:t xml:space="preserve">Commonwealth Minister who administers Part XI of the </w:t>
      </w:r>
      <w:r w:rsidR="009C3704" w:rsidRPr="009C3704">
        <w:rPr>
          <w:rFonts w:ascii="Calibri" w:hAnsi="Calibri" w:cs="Calibri"/>
          <w:i/>
          <w:sz w:val="22"/>
          <w:szCs w:val="22"/>
        </w:rPr>
        <w:t>Competition and Consumer Act 2010</w:t>
      </w:r>
      <w:r w:rsidR="00E26D95" w:rsidRPr="009C3704">
        <w:rPr>
          <w:rFonts w:asciiTheme="minorHAnsi" w:hAnsiTheme="minorHAnsi" w:cstheme="minorHAnsi"/>
          <w:sz w:val="22"/>
          <w:szCs w:val="22"/>
        </w:rPr>
        <w:t>.</w:t>
      </w:r>
    </w:p>
    <w:p w:rsidR="00AC56F7" w:rsidRPr="009C3704" w:rsidRDefault="00AC56F7" w:rsidP="009C3704">
      <w:pPr>
        <w:pBdr>
          <w:top w:val="single" w:sz="4" w:space="1" w:color="auto"/>
          <w:left w:val="single" w:sz="4" w:space="1" w:color="auto"/>
          <w:bottom w:val="single" w:sz="4" w:space="1" w:color="auto"/>
          <w:right w:val="single" w:sz="4" w:space="1" w:color="auto"/>
        </w:pBdr>
        <w:jc w:val="center"/>
        <w:rPr>
          <w:rFonts w:asciiTheme="minorHAnsi" w:hAnsiTheme="minorHAnsi" w:cstheme="minorHAnsi"/>
          <w:sz w:val="22"/>
          <w:szCs w:val="22"/>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rPr>
      </w:pPr>
    </w:p>
    <w:p w:rsidR="00AC56F7" w:rsidRPr="009C3704" w:rsidRDefault="00AC56F7" w:rsidP="00AC56F7">
      <w:pPr>
        <w:rPr>
          <w:rFonts w:asciiTheme="minorHAnsi" w:hAnsiTheme="minorHAnsi" w:cstheme="minorHAnsi"/>
          <w:sz w:val="22"/>
          <w:szCs w:val="22"/>
        </w:rPr>
      </w:pPr>
    </w:p>
    <w:p w:rsidR="00AC56F7" w:rsidRPr="009C3704" w:rsidRDefault="00AC56F7" w:rsidP="00AC56F7">
      <w:pPr>
        <w:rPr>
          <w:rFonts w:asciiTheme="minorHAnsi" w:hAnsiTheme="minorHAnsi" w:cstheme="minorHAnsi"/>
          <w:b/>
          <w:sz w:val="20"/>
        </w:rPr>
      </w:pPr>
      <w:r w:rsidRPr="009C3704">
        <w:rPr>
          <w:rFonts w:asciiTheme="minorHAnsi" w:hAnsiTheme="minorHAnsi" w:cstheme="minorHAnsi"/>
          <w:b/>
          <w:bCs/>
          <w:sz w:val="22"/>
          <w:szCs w:val="22"/>
        </w:rPr>
        <w:t>This material may be faithfully reproduced or forwarded to any other interested parties or referenced on public websites, provided the Australian Competition and Consumer Commission is acknowledged as the source of the material and directions to access the full document are provided.</w:t>
      </w:r>
      <w:r w:rsidR="00823E13" w:rsidRPr="009C3704">
        <w:rPr>
          <w:rFonts w:asciiTheme="minorHAnsi" w:hAnsiTheme="minorHAnsi" w:cstheme="minorHAnsi"/>
          <w:b/>
        </w:rPr>
        <w:t xml:space="preserve"> </w:t>
      </w:r>
      <w:r w:rsidR="00823E13" w:rsidRPr="009C3704">
        <w:rPr>
          <w:rFonts w:asciiTheme="minorHAnsi" w:hAnsiTheme="minorHAnsi" w:cstheme="minorHAnsi"/>
          <w:b/>
          <w:bCs/>
          <w:sz w:val="22"/>
          <w:szCs w:val="22"/>
        </w:rPr>
        <w:t>For more information, contact the Director Publishing, Australian Competition and Consumer Commission, GPO Box 3131, Canberra ACT 2601.</w:t>
      </w:r>
    </w:p>
    <w:p w:rsidR="00AC56F7" w:rsidRPr="009C3704" w:rsidRDefault="00AC56F7" w:rsidP="00AC56F7">
      <w:pPr>
        <w:rPr>
          <w:rFonts w:asciiTheme="minorHAnsi" w:hAnsiTheme="minorHAnsi" w:cstheme="minorHAnsi"/>
          <w:b/>
          <w:sz w:val="20"/>
        </w:rPr>
        <w:sectPr w:rsidR="00AC56F7" w:rsidRPr="009C3704" w:rsidSect="00AC56F7">
          <w:pgSz w:w="11909" w:h="16834" w:code="9"/>
          <w:pgMar w:top="1440" w:right="1440" w:bottom="1440" w:left="1440" w:header="794" w:footer="1440" w:gutter="0"/>
          <w:pgNumType w:fmt="numberInDash"/>
          <w:cols w:space="720"/>
          <w:titlePg/>
          <w:docGrid w:linePitch="326"/>
        </w:sectPr>
      </w:pPr>
    </w:p>
    <w:p w:rsidR="009C3704" w:rsidRPr="00AB79CF" w:rsidRDefault="009C3704" w:rsidP="00157767">
      <w:pPr>
        <w:pStyle w:val="Heading1"/>
        <w:numPr>
          <w:ilvl w:val="0"/>
          <w:numId w:val="27"/>
        </w:numPr>
        <w:tabs>
          <w:tab w:val="left" w:pos="426"/>
        </w:tabs>
        <w:spacing w:before="120" w:after="240" w:line="220" w:lineRule="atLeast"/>
        <w:ind w:left="357" w:hanging="357"/>
        <w:jc w:val="both"/>
        <w:rPr>
          <w:rFonts w:asciiTheme="minorHAnsi" w:hAnsiTheme="minorHAnsi" w:cstheme="minorHAnsi"/>
          <w:sz w:val="36"/>
          <w:szCs w:val="36"/>
        </w:rPr>
      </w:pPr>
      <w:bookmarkStart w:id="0" w:name="_Toc391378920"/>
      <w:r w:rsidRPr="00AB79CF">
        <w:rPr>
          <w:rFonts w:asciiTheme="minorHAnsi" w:hAnsiTheme="minorHAnsi" w:cstheme="minorHAnsi"/>
          <w:sz w:val="36"/>
          <w:szCs w:val="36"/>
        </w:rPr>
        <w:lastRenderedPageBreak/>
        <w:t>Introduction</w:t>
      </w:r>
      <w:bookmarkEnd w:id="0"/>
    </w:p>
    <w:p w:rsidR="007A66B0" w:rsidRDefault="00C10477" w:rsidP="00347BF1">
      <w:pPr>
        <w:spacing w:before="120" w:after="240" w:line="220" w:lineRule="atLeast"/>
        <w:jc w:val="both"/>
        <w:rPr>
          <w:rFonts w:asciiTheme="minorHAnsi" w:hAnsiTheme="minorHAnsi" w:cstheme="minorHAnsi"/>
          <w:sz w:val="22"/>
          <w:szCs w:val="22"/>
        </w:rPr>
      </w:pPr>
      <w:r w:rsidRPr="00C10477">
        <w:rPr>
          <w:rFonts w:asciiTheme="minorHAnsi" w:hAnsiTheme="minorHAnsi" w:cstheme="minorHAnsi"/>
          <w:sz w:val="22"/>
          <w:szCs w:val="22"/>
          <w:lang w:val="en-US"/>
        </w:rPr>
        <w:t xml:space="preserve">Where a consumer product is </w:t>
      </w:r>
      <w:r w:rsidR="00B061BA">
        <w:rPr>
          <w:rFonts w:asciiTheme="minorHAnsi" w:hAnsiTheme="minorHAnsi" w:cstheme="minorHAnsi"/>
          <w:sz w:val="22"/>
          <w:szCs w:val="22"/>
          <w:lang w:val="en-US"/>
        </w:rPr>
        <w:t xml:space="preserve">potentially </w:t>
      </w:r>
      <w:r w:rsidRPr="00C10477">
        <w:rPr>
          <w:rFonts w:asciiTheme="minorHAnsi" w:hAnsiTheme="minorHAnsi" w:cstheme="minorHAnsi"/>
          <w:sz w:val="22"/>
          <w:szCs w:val="22"/>
          <w:lang w:val="en-US"/>
        </w:rPr>
        <w:t>hazardous t</w:t>
      </w:r>
      <w:r w:rsidRPr="00C10477">
        <w:rPr>
          <w:rFonts w:asciiTheme="minorHAnsi" w:hAnsiTheme="minorHAnsi" w:cstheme="minorHAnsi"/>
          <w:sz w:val="22"/>
          <w:szCs w:val="22"/>
        </w:rPr>
        <w:t xml:space="preserve">he Australian Government can choose whether to take action to remove or </w:t>
      </w:r>
      <w:r w:rsidR="00614F69">
        <w:rPr>
          <w:rFonts w:asciiTheme="minorHAnsi" w:hAnsiTheme="minorHAnsi" w:cstheme="minorHAnsi"/>
          <w:sz w:val="22"/>
          <w:szCs w:val="22"/>
        </w:rPr>
        <w:t xml:space="preserve">action to </w:t>
      </w:r>
      <w:r w:rsidRPr="00C10477">
        <w:rPr>
          <w:rFonts w:asciiTheme="minorHAnsi" w:hAnsiTheme="minorHAnsi" w:cstheme="minorHAnsi"/>
          <w:sz w:val="22"/>
          <w:szCs w:val="22"/>
        </w:rPr>
        <w:t>reduce the possibility that those goods pose a risk of injury to a person.</w:t>
      </w:r>
      <w:r w:rsidR="007A66B0">
        <w:rPr>
          <w:rFonts w:asciiTheme="minorHAnsi" w:hAnsiTheme="minorHAnsi" w:cstheme="minorHAnsi"/>
          <w:sz w:val="22"/>
          <w:szCs w:val="22"/>
        </w:rPr>
        <w:t xml:space="preserve"> This choice needs to be fully informed by analysis and consideration of the regulatory problem, including the development and assessment of all viable options. </w:t>
      </w:r>
      <w:r w:rsidRPr="00C10477">
        <w:rPr>
          <w:rFonts w:asciiTheme="minorHAnsi" w:hAnsiTheme="minorHAnsi" w:cstheme="minorHAnsi"/>
          <w:sz w:val="22"/>
          <w:szCs w:val="22"/>
        </w:rPr>
        <w:t>When market intervention is necessary,</w:t>
      </w:r>
      <w:r w:rsidRPr="00C10477">
        <w:rPr>
          <w:rFonts w:asciiTheme="minorHAnsi" w:hAnsiTheme="minorHAnsi" w:cstheme="minorHAnsi"/>
          <w:bCs/>
          <w:sz w:val="22"/>
          <w:szCs w:val="22"/>
        </w:rPr>
        <w:t xml:space="preserve"> the best option available will offer an overall net benefit without undue compliance burdens</w:t>
      </w:r>
      <w:r w:rsidRPr="00C10477">
        <w:rPr>
          <w:rFonts w:asciiTheme="minorHAnsi" w:hAnsiTheme="minorHAnsi" w:cstheme="minorHAnsi"/>
          <w:sz w:val="22"/>
          <w:szCs w:val="22"/>
        </w:rPr>
        <w:t xml:space="preserve">. </w:t>
      </w:r>
    </w:p>
    <w:p w:rsidR="00C10477" w:rsidRPr="00C10477" w:rsidRDefault="00C10477" w:rsidP="00347BF1">
      <w:pPr>
        <w:spacing w:before="120" w:after="240" w:line="220" w:lineRule="atLeast"/>
        <w:jc w:val="both"/>
        <w:rPr>
          <w:rFonts w:asciiTheme="minorHAnsi" w:hAnsiTheme="minorHAnsi" w:cstheme="minorHAnsi"/>
          <w:sz w:val="22"/>
          <w:szCs w:val="22"/>
        </w:rPr>
      </w:pPr>
      <w:r w:rsidRPr="00C10477">
        <w:rPr>
          <w:rFonts w:asciiTheme="minorHAnsi" w:hAnsiTheme="minorHAnsi" w:cstheme="minorHAnsi"/>
          <w:sz w:val="22"/>
          <w:szCs w:val="22"/>
        </w:rPr>
        <w:t xml:space="preserve">The Commonwealth Minister who administers Part XI of the </w:t>
      </w:r>
      <w:r w:rsidRPr="00C10477">
        <w:rPr>
          <w:rFonts w:asciiTheme="minorHAnsi" w:hAnsiTheme="minorHAnsi" w:cstheme="minorHAnsi"/>
          <w:i/>
          <w:sz w:val="22"/>
          <w:szCs w:val="22"/>
        </w:rPr>
        <w:t>Competition and Consumer Act 2010</w:t>
      </w:r>
      <w:r>
        <w:rPr>
          <w:rStyle w:val="FootnoteReference"/>
          <w:rFonts w:asciiTheme="minorHAnsi" w:hAnsiTheme="minorHAnsi" w:cstheme="minorHAnsi"/>
          <w:i/>
          <w:sz w:val="22"/>
          <w:szCs w:val="22"/>
        </w:rPr>
        <w:footnoteReference w:id="1"/>
      </w:r>
      <w:r w:rsidRPr="00C10477">
        <w:rPr>
          <w:rFonts w:asciiTheme="minorHAnsi" w:hAnsiTheme="minorHAnsi" w:cstheme="minorHAnsi"/>
          <w:sz w:val="22"/>
          <w:szCs w:val="22"/>
        </w:rPr>
        <w:t xml:space="preserve"> (the </w:t>
      </w:r>
      <w:r w:rsidRPr="00C10477">
        <w:rPr>
          <w:rFonts w:asciiTheme="minorHAnsi" w:hAnsiTheme="minorHAnsi" w:cstheme="minorHAnsi"/>
          <w:b/>
          <w:sz w:val="22"/>
          <w:szCs w:val="22"/>
        </w:rPr>
        <w:t>CCA</w:t>
      </w:r>
      <w:r w:rsidRPr="00C10477">
        <w:rPr>
          <w:rFonts w:asciiTheme="minorHAnsi" w:hAnsiTheme="minorHAnsi" w:cstheme="minorHAnsi"/>
          <w:sz w:val="22"/>
          <w:szCs w:val="22"/>
        </w:rPr>
        <w:t xml:space="preserve">) may impose requirements </w:t>
      </w:r>
      <w:r w:rsidRPr="00C10477">
        <w:rPr>
          <w:rFonts w:asciiTheme="minorHAnsi" w:hAnsiTheme="minorHAnsi" w:cstheme="minorHAnsi"/>
          <w:bCs/>
          <w:sz w:val="22"/>
          <w:szCs w:val="22"/>
        </w:rPr>
        <w:t xml:space="preserve">on the supply on consumer goods. This may include </w:t>
      </w:r>
      <w:r w:rsidRPr="00C10477">
        <w:rPr>
          <w:rFonts w:asciiTheme="minorHAnsi" w:hAnsiTheme="minorHAnsi" w:cstheme="minorHAnsi"/>
          <w:bCs/>
          <w:i/>
          <w:sz w:val="22"/>
          <w:szCs w:val="22"/>
        </w:rPr>
        <w:t>making</w:t>
      </w:r>
      <w:r w:rsidRPr="00C10477">
        <w:rPr>
          <w:rFonts w:asciiTheme="minorHAnsi" w:hAnsiTheme="minorHAnsi" w:cstheme="minorHAnsi"/>
          <w:bCs/>
          <w:sz w:val="22"/>
          <w:szCs w:val="22"/>
        </w:rPr>
        <w:t xml:space="preserve"> or </w:t>
      </w:r>
      <w:r w:rsidRPr="00C10477">
        <w:rPr>
          <w:rFonts w:asciiTheme="minorHAnsi" w:hAnsiTheme="minorHAnsi" w:cstheme="minorHAnsi"/>
          <w:bCs/>
          <w:i/>
          <w:sz w:val="22"/>
          <w:szCs w:val="22"/>
        </w:rPr>
        <w:t>declaring</w:t>
      </w:r>
      <w:r w:rsidRPr="00C10477">
        <w:rPr>
          <w:rFonts w:asciiTheme="minorHAnsi" w:hAnsiTheme="minorHAnsi" w:cstheme="minorHAnsi"/>
          <w:bCs/>
          <w:sz w:val="22"/>
          <w:szCs w:val="22"/>
        </w:rPr>
        <w:t xml:space="preserve"> safety standards</w:t>
      </w:r>
      <w:r>
        <w:rPr>
          <w:rStyle w:val="FootnoteReference"/>
          <w:rFonts w:asciiTheme="minorHAnsi" w:hAnsiTheme="minorHAnsi" w:cstheme="minorHAnsi"/>
          <w:bCs/>
          <w:sz w:val="22"/>
          <w:szCs w:val="22"/>
        </w:rPr>
        <w:footnoteReference w:id="2"/>
      </w:r>
      <w:r w:rsidRPr="00C10477">
        <w:rPr>
          <w:rFonts w:asciiTheme="minorHAnsi" w:hAnsiTheme="minorHAnsi" w:cstheme="minorHAnsi"/>
          <w:bCs/>
          <w:sz w:val="22"/>
          <w:szCs w:val="22"/>
        </w:rPr>
        <w:t xml:space="preserve">.  </w:t>
      </w:r>
      <w:r w:rsidRPr="00C10477">
        <w:rPr>
          <w:rFonts w:asciiTheme="minorHAnsi" w:hAnsiTheme="minorHAnsi" w:cstheme="minorHAnsi"/>
          <w:sz w:val="22"/>
          <w:szCs w:val="22"/>
        </w:rPr>
        <w:t xml:space="preserve">The Commonwealth Minister does not need to be satisfied of any particular criteria before making a safety standard. </w:t>
      </w:r>
      <w:r w:rsidR="00C811E9">
        <w:rPr>
          <w:rFonts w:asciiTheme="minorHAnsi" w:hAnsiTheme="minorHAnsi" w:cstheme="minorHAnsi"/>
          <w:sz w:val="22"/>
          <w:szCs w:val="22"/>
        </w:rPr>
        <w:t>A</w:t>
      </w:r>
      <w:r w:rsidRPr="00C10477">
        <w:rPr>
          <w:rFonts w:asciiTheme="minorHAnsi" w:hAnsiTheme="minorHAnsi" w:cstheme="minorHAnsi"/>
          <w:sz w:val="22"/>
          <w:szCs w:val="22"/>
        </w:rPr>
        <w:t xml:space="preserve"> </w:t>
      </w:r>
      <w:r w:rsidR="000615E3">
        <w:rPr>
          <w:rFonts w:asciiTheme="minorHAnsi" w:hAnsiTheme="minorHAnsi" w:cstheme="minorHAnsi"/>
          <w:sz w:val="22"/>
          <w:szCs w:val="22"/>
        </w:rPr>
        <w:t xml:space="preserve">safety </w:t>
      </w:r>
      <w:r w:rsidRPr="00C10477">
        <w:rPr>
          <w:rFonts w:asciiTheme="minorHAnsi" w:hAnsiTheme="minorHAnsi" w:cstheme="minorHAnsi"/>
          <w:sz w:val="22"/>
          <w:szCs w:val="22"/>
        </w:rPr>
        <w:t xml:space="preserve">standard may consist of such requirements as are reasonably necessary to prevent or reduce the risk of injury to any person. Where an Australian Standard exists that addresses potential risks of injury to a person the Commonwealth Minister may </w:t>
      </w:r>
      <w:r w:rsidRPr="000615E3">
        <w:rPr>
          <w:rFonts w:asciiTheme="minorHAnsi" w:hAnsiTheme="minorHAnsi" w:cstheme="minorHAnsi"/>
          <w:i/>
          <w:sz w:val="22"/>
          <w:szCs w:val="22"/>
        </w:rPr>
        <w:t>declare</w:t>
      </w:r>
      <w:r w:rsidRPr="00C10477">
        <w:rPr>
          <w:rFonts w:asciiTheme="minorHAnsi" w:hAnsiTheme="minorHAnsi" w:cstheme="minorHAnsi"/>
          <w:sz w:val="22"/>
          <w:szCs w:val="22"/>
        </w:rPr>
        <w:t xml:space="preserve"> that Australian Standard</w:t>
      </w:r>
      <w:r w:rsidR="00817387">
        <w:rPr>
          <w:rStyle w:val="FootnoteReference"/>
          <w:rFonts w:asciiTheme="minorHAnsi" w:hAnsiTheme="minorHAnsi" w:cstheme="minorHAnsi"/>
          <w:sz w:val="22"/>
          <w:szCs w:val="22"/>
        </w:rPr>
        <w:footnoteReference w:id="3"/>
      </w:r>
      <w:r w:rsidRPr="00C10477">
        <w:rPr>
          <w:rFonts w:asciiTheme="minorHAnsi" w:hAnsiTheme="minorHAnsi" w:cstheme="minorHAnsi"/>
          <w:sz w:val="22"/>
          <w:szCs w:val="22"/>
        </w:rPr>
        <w:t xml:space="preserve"> (with or without variation) to be a safety standard for the CCA. Whether </w:t>
      </w:r>
      <w:r w:rsidR="000615E3">
        <w:rPr>
          <w:rFonts w:asciiTheme="minorHAnsi" w:hAnsiTheme="minorHAnsi" w:cstheme="minorHAnsi"/>
          <w:sz w:val="22"/>
          <w:szCs w:val="22"/>
        </w:rPr>
        <w:t xml:space="preserve">it is </w:t>
      </w:r>
      <w:r w:rsidRPr="000615E3">
        <w:rPr>
          <w:rFonts w:asciiTheme="minorHAnsi" w:hAnsiTheme="minorHAnsi" w:cstheme="minorHAnsi"/>
          <w:i/>
          <w:sz w:val="22"/>
          <w:szCs w:val="22"/>
        </w:rPr>
        <w:t>declared</w:t>
      </w:r>
      <w:r w:rsidRPr="00C10477">
        <w:rPr>
          <w:rFonts w:asciiTheme="minorHAnsi" w:hAnsiTheme="minorHAnsi" w:cstheme="minorHAnsi"/>
          <w:sz w:val="22"/>
          <w:szCs w:val="22"/>
        </w:rPr>
        <w:t xml:space="preserve"> or </w:t>
      </w:r>
      <w:r w:rsidRPr="000615E3">
        <w:rPr>
          <w:rFonts w:asciiTheme="minorHAnsi" w:hAnsiTheme="minorHAnsi" w:cstheme="minorHAnsi"/>
          <w:i/>
          <w:sz w:val="22"/>
          <w:szCs w:val="22"/>
        </w:rPr>
        <w:t>made</w:t>
      </w:r>
      <w:r w:rsidRPr="00C10477">
        <w:rPr>
          <w:rFonts w:asciiTheme="minorHAnsi" w:hAnsiTheme="minorHAnsi" w:cstheme="minorHAnsi"/>
          <w:sz w:val="22"/>
          <w:szCs w:val="22"/>
        </w:rPr>
        <w:t xml:space="preserve">, the notice of a safety standard is a legislative instrument for the purposes of the Legislative Instrument Act 2003. </w:t>
      </w:r>
    </w:p>
    <w:p w:rsidR="00C10477" w:rsidRPr="00C10477" w:rsidRDefault="00C10477" w:rsidP="00C10477">
      <w:pPr>
        <w:spacing w:before="120" w:after="240" w:line="220" w:lineRule="atLeast"/>
        <w:jc w:val="both"/>
        <w:rPr>
          <w:rFonts w:asciiTheme="minorHAnsi" w:hAnsiTheme="minorHAnsi" w:cstheme="minorHAnsi"/>
          <w:sz w:val="22"/>
          <w:szCs w:val="22"/>
        </w:rPr>
      </w:pPr>
      <w:r w:rsidRPr="00C10477">
        <w:rPr>
          <w:rFonts w:asciiTheme="minorHAnsi" w:hAnsiTheme="minorHAnsi" w:cstheme="minorHAnsi"/>
          <w:sz w:val="22"/>
          <w:szCs w:val="22"/>
        </w:rPr>
        <w:t>The ACCC conducts analysis of potential safety risks posed by some consumer products, develops management options through consultation</w:t>
      </w:r>
      <w:r w:rsidR="00817387">
        <w:rPr>
          <w:rStyle w:val="FootnoteReference"/>
          <w:rFonts w:asciiTheme="minorHAnsi" w:hAnsiTheme="minorHAnsi" w:cstheme="minorHAnsi"/>
          <w:sz w:val="22"/>
          <w:szCs w:val="22"/>
        </w:rPr>
        <w:footnoteReference w:id="4"/>
      </w:r>
      <w:r w:rsidRPr="00C10477">
        <w:rPr>
          <w:rFonts w:asciiTheme="minorHAnsi" w:hAnsiTheme="minorHAnsi" w:cstheme="minorHAnsi"/>
          <w:sz w:val="22"/>
          <w:szCs w:val="22"/>
        </w:rPr>
        <w:t xml:space="preserve"> and makes recommendations to the Commonwealth Minister. In doing so, the ACCC is cognisant of the Australian Government’s wider regulation policy. This means that:</w:t>
      </w:r>
    </w:p>
    <w:p w:rsidR="00C10477" w:rsidRPr="00C10477" w:rsidRDefault="00C10477" w:rsidP="00B061BA">
      <w:pPr>
        <w:pStyle w:val="ListParagraph"/>
        <w:numPr>
          <w:ilvl w:val="0"/>
          <w:numId w:val="28"/>
        </w:numPr>
        <w:spacing w:before="120" w:after="240" w:line="220" w:lineRule="atLeast"/>
        <w:ind w:left="284" w:hanging="284"/>
        <w:jc w:val="both"/>
        <w:rPr>
          <w:rFonts w:asciiTheme="minorHAnsi" w:eastAsia="Calibri" w:hAnsiTheme="minorHAnsi" w:cstheme="minorHAnsi"/>
          <w:sz w:val="22"/>
          <w:szCs w:val="22"/>
          <w:lang w:eastAsia="en-US"/>
        </w:rPr>
      </w:pPr>
      <w:r w:rsidRPr="00C10477">
        <w:rPr>
          <w:rFonts w:asciiTheme="minorHAnsi" w:eastAsia="Calibri" w:hAnsiTheme="minorHAnsi" w:cstheme="minorHAnsi"/>
          <w:sz w:val="22"/>
          <w:szCs w:val="22"/>
          <w:lang w:eastAsia="en-US"/>
        </w:rPr>
        <w:t>recommendations must balance the interests and safety of consumers against compliance costs to business and the community</w:t>
      </w:r>
      <w:r w:rsidR="00C811E9">
        <w:rPr>
          <w:rFonts w:asciiTheme="minorHAnsi" w:eastAsia="Calibri" w:hAnsiTheme="minorHAnsi" w:cstheme="minorHAnsi"/>
          <w:sz w:val="22"/>
          <w:szCs w:val="22"/>
          <w:lang w:eastAsia="en-US"/>
        </w:rPr>
        <w:t>; and</w:t>
      </w:r>
    </w:p>
    <w:p w:rsidR="00C10477" w:rsidRPr="00C10477" w:rsidRDefault="00C10477" w:rsidP="00B061BA">
      <w:pPr>
        <w:pStyle w:val="ListParagraph"/>
        <w:numPr>
          <w:ilvl w:val="0"/>
          <w:numId w:val="28"/>
        </w:numPr>
        <w:spacing w:before="120" w:after="240" w:line="220" w:lineRule="atLeast"/>
        <w:ind w:left="284" w:hanging="284"/>
        <w:jc w:val="both"/>
        <w:rPr>
          <w:rFonts w:asciiTheme="minorHAnsi" w:eastAsia="Calibri" w:hAnsiTheme="minorHAnsi" w:cstheme="minorHAnsi"/>
          <w:sz w:val="22"/>
          <w:szCs w:val="22"/>
          <w:lang w:eastAsia="en-US"/>
        </w:rPr>
      </w:pPr>
      <w:r w:rsidRPr="00C10477">
        <w:rPr>
          <w:rFonts w:asciiTheme="minorHAnsi" w:eastAsia="Calibri" w:hAnsiTheme="minorHAnsi" w:cstheme="minorHAnsi"/>
          <w:sz w:val="22"/>
          <w:szCs w:val="22"/>
          <w:lang w:eastAsia="en-US"/>
        </w:rPr>
        <w:t xml:space="preserve">principles-based or outcome based regulation needs to be considered, as it is more likely to accommodate changes to manufacturing, </w:t>
      </w:r>
      <w:r w:rsidR="007A66B0">
        <w:rPr>
          <w:rFonts w:asciiTheme="minorHAnsi" w:eastAsia="Calibri" w:hAnsiTheme="minorHAnsi" w:cstheme="minorHAnsi"/>
          <w:sz w:val="22"/>
          <w:szCs w:val="22"/>
          <w:lang w:eastAsia="en-US"/>
        </w:rPr>
        <w:t xml:space="preserve">allow for </w:t>
      </w:r>
      <w:r w:rsidRPr="00C10477">
        <w:rPr>
          <w:rFonts w:asciiTheme="minorHAnsi" w:eastAsia="Calibri" w:hAnsiTheme="minorHAnsi" w:cstheme="minorHAnsi"/>
          <w:sz w:val="22"/>
          <w:szCs w:val="22"/>
          <w:lang w:eastAsia="en-US"/>
        </w:rPr>
        <w:t>innovation and reduce compliance costs.</w:t>
      </w:r>
    </w:p>
    <w:p w:rsidR="00C10477" w:rsidRPr="00C10477" w:rsidRDefault="00C10477" w:rsidP="00C10477">
      <w:pPr>
        <w:spacing w:before="120" w:after="240" w:line="220" w:lineRule="atLeast"/>
        <w:jc w:val="both"/>
        <w:rPr>
          <w:rFonts w:asciiTheme="minorHAnsi" w:hAnsiTheme="minorHAnsi" w:cstheme="minorHAnsi"/>
          <w:sz w:val="22"/>
          <w:szCs w:val="22"/>
        </w:rPr>
      </w:pPr>
      <w:r w:rsidRPr="00C10477">
        <w:rPr>
          <w:rFonts w:asciiTheme="minorHAnsi" w:hAnsiTheme="minorHAnsi" w:cstheme="minorHAnsi"/>
          <w:sz w:val="22"/>
          <w:szCs w:val="22"/>
        </w:rPr>
        <w:t xml:space="preserve">Where a mandatory consumer product safety standard applies to a consumer good, suppliers must not supply or offer to supply the product if it does not comply. The Australian Consumer Law (the </w:t>
      </w:r>
      <w:r w:rsidRPr="00C10477">
        <w:rPr>
          <w:rFonts w:asciiTheme="minorHAnsi" w:hAnsiTheme="minorHAnsi" w:cstheme="minorHAnsi"/>
          <w:b/>
          <w:sz w:val="22"/>
          <w:szCs w:val="22"/>
        </w:rPr>
        <w:t>ACL</w:t>
      </w:r>
      <w:r w:rsidRPr="00C10477">
        <w:rPr>
          <w:rFonts w:asciiTheme="minorHAnsi" w:hAnsiTheme="minorHAnsi" w:cstheme="minorHAnsi"/>
          <w:sz w:val="22"/>
          <w:szCs w:val="22"/>
        </w:rPr>
        <w:t>) provides for significant penalties for a breach of a safety standard or permanent ban. The maximum penalty for breach of a safety standard or permanent ban is $1.1 million for a corporation and $220</w:t>
      </w:r>
      <w:r w:rsidR="00817387">
        <w:rPr>
          <w:rFonts w:asciiTheme="minorHAnsi" w:hAnsiTheme="minorHAnsi" w:cstheme="minorHAnsi"/>
          <w:sz w:val="22"/>
          <w:szCs w:val="22"/>
        </w:rPr>
        <w:t>,</w:t>
      </w:r>
      <w:r w:rsidRPr="00C10477">
        <w:rPr>
          <w:rFonts w:asciiTheme="minorHAnsi" w:hAnsiTheme="minorHAnsi" w:cstheme="minorHAnsi"/>
          <w:sz w:val="22"/>
          <w:szCs w:val="22"/>
        </w:rPr>
        <w:t>000 for an individual.</w:t>
      </w:r>
    </w:p>
    <w:p w:rsidR="00AC56F7" w:rsidRPr="009C3704" w:rsidRDefault="00AC56F7" w:rsidP="009C3704">
      <w:pPr>
        <w:pStyle w:val="Heading1"/>
        <w:numPr>
          <w:ilvl w:val="0"/>
          <w:numId w:val="27"/>
        </w:numPr>
        <w:spacing w:before="120" w:after="240" w:line="220" w:lineRule="atLeast"/>
        <w:ind w:left="357" w:hanging="357"/>
        <w:jc w:val="both"/>
        <w:rPr>
          <w:rFonts w:asciiTheme="minorHAnsi" w:hAnsiTheme="minorHAnsi" w:cstheme="minorHAnsi"/>
          <w:sz w:val="36"/>
        </w:rPr>
      </w:pPr>
      <w:bookmarkStart w:id="1" w:name="_Toc391378921"/>
      <w:r w:rsidRPr="009C3704">
        <w:rPr>
          <w:rFonts w:asciiTheme="minorHAnsi" w:hAnsiTheme="minorHAnsi" w:cstheme="minorHAnsi"/>
          <w:sz w:val="36"/>
        </w:rPr>
        <w:t>Purpose</w:t>
      </w:r>
      <w:bookmarkEnd w:id="1"/>
    </w:p>
    <w:p w:rsidR="00AC56F7" w:rsidRPr="00620131" w:rsidRDefault="00AC56F7" w:rsidP="00620131">
      <w:pPr>
        <w:spacing w:before="120" w:after="240" w:line="220" w:lineRule="atLeast"/>
        <w:jc w:val="both"/>
        <w:rPr>
          <w:rFonts w:asciiTheme="minorHAnsi" w:hAnsiTheme="minorHAnsi" w:cstheme="minorHAnsi"/>
          <w:sz w:val="22"/>
          <w:szCs w:val="22"/>
        </w:rPr>
      </w:pPr>
      <w:r w:rsidRPr="00620131">
        <w:rPr>
          <w:rFonts w:asciiTheme="minorHAnsi" w:hAnsiTheme="minorHAnsi" w:cstheme="minorHAnsi"/>
          <w:sz w:val="22"/>
          <w:szCs w:val="22"/>
        </w:rPr>
        <w:t xml:space="preserve">The purpose of this paper is to consult with stakeholders on </w:t>
      </w:r>
      <w:r w:rsidR="001F5CA8" w:rsidRPr="00620131">
        <w:rPr>
          <w:rFonts w:asciiTheme="minorHAnsi" w:hAnsiTheme="minorHAnsi" w:cstheme="minorHAnsi"/>
          <w:sz w:val="22"/>
          <w:szCs w:val="22"/>
        </w:rPr>
        <w:t xml:space="preserve">a proposal to alter the mechanism by which the Australian </w:t>
      </w:r>
      <w:r w:rsidR="00620131" w:rsidRPr="00620131">
        <w:rPr>
          <w:rFonts w:asciiTheme="minorHAnsi" w:hAnsiTheme="minorHAnsi" w:cstheme="minorHAnsi"/>
          <w:sz w:val="22"/>
          <w:szCs w:val="22"/>
        </w:rPr>
        <w:t>government</w:t>
      </w:r>
      <w:r w:rsidR="001F5CA8" w:rsidRPr="00620131">
        <w:rPr>
          <w:rFonts w:asciiTheme="minorHAnsi" w:hAnsiTheme="minorHAnsi" w:cstheme="minorHAnsi"/>
          <w:sz w:val="22"/>
          <w:szCs w:val="22"/>
        </w:rPr>
        <w:t xml:space="preserve"> ensures that child restraints supplied in Australia for use in motor </w:t>
      </w:r>
      <w:r w:rsidR="001F5CA8" w:rsidRPr="00620131">
        <w:rPr>
          <w:rFonts w:asciiTheme="minorHAnsi" w:hAnsiTheme="minorHAnsi" w:cstheme="minorHAnsi"/>
          <w:sz w:val="22"/>
          <w:szCs w:val="22"/>
        </w:rPr>
        <w:lastRenderedPageBreak/>
        <w:t xml:space="preserve">vehicles </w:t>
      </w:r>
      <w:r w:rsidR="00620131" w:rsidRPr="00620131">
        <w:rPr>
          <w:rFonts w:asciiTheme="minorHAnsi" w:hAnsiTheme="minorHAnsi" w:cstheme="minorHAnsi"/>
          <w:sz w:val="22"/>
          <w:szCs w:val="22"/>
        </w:rPr>
        <w:t xml:space="preserve">do not pose a risk </w:t>
      </w:r>
      <w:r w:rsidR="00620131" w:rsidRPr="00620131">
        <w:rPr>
          <w:rFonts w:ascii="Calibri" w:hAnsi="Calibri" w:cs="Calibri"/>
          <w:sz w:val="22"/>
          <w:szCs w:val="22"/>
        </w:rPr>
        <w:t>of injury to a child travelling in a motor vehicle as a passenger</w:t>
      </w:r>
      <w:r w:rsidR="00221E3E" w:rsidRPr="00620131">
        <w:rPr>
          <w:rFonts w:asciiTheme="minorHAnsi" w:hAnsiTheme="minorHAnsi" w:cstheme="minorHAnsi"/>
          <w:sz w:val="22"/>
          <w:szCs w:val="22"/>
        </w:rPr>
        <w:t xml:space="preserve"> and are </w:t>
      </w:r>
      <w:r w:rsidR="00620131">
        <w:rPr>
          <w:rFonts w:asciiTheme="minorHAnsi" w:hAnsiTheme="minorHAnsi" w:cstheme="minorHAnsi"/>
          <w:sz w:val="22"/>
          <w:szCs w:val="22"/>
        </w:rPr>
        <w:t>legally able to be used, i</w:t>
      </w:r>
      <w:r w:rsidR="007A66B0">
        <w:rPr>
          <w:rFonts w:asciiTheme="minorHAnsi" w:hAnsiTheme="minorHAnsi" w:cstheme="minorHAnsi"/>
          <w:sz w:val="22"/>
          <w:szCs w:val="22"/>
        </w:rPr>
        <w:t>.</w:t>
      </w:r>
      <w:r w:rsidR="00620131">
        <w:rPr>
          <w:rFonts w:asciiTheme="minorHAnsi" w:hAnsiTheme="minorHAnsi" w:cstheme="minorHAnsi"/>
          <w:sz w:val="22"/>
          <w:szCs w:val="22"/>
        </w:rPr>
        <w:t>e</w:t>
      </w:r>
      <w:r w:rsidR="00CF043C">
        <w:rPr>
          <w:rFonts w:asciiTheme="minorHAnsi" w:hAnsiTheme="minorHAnsi" w:cstheme="minorHAnsi"/>
          <w:sz w:val="22"/>
          <w:szCs w:val="22"/>
        </w:rPr>
        <w:t>.</w:t>
      </w:r>
      <w:r w:rsidR="00620131">
        <w:rPr>
          <w:rFonts w:asciiTheme="minorHAnsi" w:hAnsiTheme="minorHAnsi" w:cstheme="minorHAnsi"/>
          <w:sz w:val="22"/>
          <w:szCs w:val="22"/>
        </w:rPr>
        <w:t xml:space="preserve"> are </w:t>
      </w:r>
      <w:r w:rsidR="00221E3E" w:rsidRPr="00620131">
        <w:rPr>
          <w:rFonts w:asciiTheme="minorHAnsi" w:hAnsiTheme="minorHAnsi" w:cstheme="minorHAnsi"/>
          <w:sz w:val="22"/>
          <w:szCs w:val="22"/>
        </w:rPr>
        <w:t>fit for purpose</w:t>
      </w:r>
      <w:r w:rsidR="001F5CA8" w:rsidRPr="00620131">
        <w:rPr>
          <w:rFonts w:asciiTheme="minorHAnsi" w:hAnsiTheme="minorHAnsi" w:cstheme="minorHAnsi"/>
          <w:sz w:val="22"/>
          <w:szCs w:val="22"/>
        </w:rPr>
        <w:t>.</w:t>
      </w:r>
      <w:r w:rsidRPr="00620131">
        <w:rPr>
          <w:rFonts w:asciiTheme="minorHAnsi" w:hAnsiTheme="minorHAnsi" w:cstheme="minorHAnsi"/>
          <w:sz w:val="22"/>
          <w:szCs w:val="22"/>
        </w:rPr>
        <w:t xml:space="preserve"> </w:t>
      </w:r>
    </w:p>
    <w:p w:rsidR="00347BF1" w:rsidRDefault="00AC56F7" w:rsidP="00D35000">
      <w:pPr>
        <w:spacing w:before="120" w:after="240" w:line="220" w:lineRule="atLeast"/>
        <w:jc w:val="both"/>
        <w:rPr>
          <w:rFonts w:asciiTheme="minorHAnsi" w:hAnsiTheme="minorHAnsi" w:cstheme="minorHAnsi"/>
          <w:sz w:val="22"/>
          <w:szCs w:val="22"/>
        </w:rPr>
      </w:pPr>
      <w:r w:rsidRPr="00620131">
        <w:rPr>
          <w:rFonts w:asciiTheme="minorHAnsi" w:hAnsiTheme="minorHAnsi" w:cstheme="minorHAnsi"/>
          <w:sz w:val="22"/>
          <w:szCs w:val="22"/>
        </w:rPr>
        <w:t xml:space="preserve">This paper seeks </w:t>
      </w:r>
      <w:r w:rsidR="00C811E9">
        <w:rPr>
          <w:rFonts w:asciiTheme="minorHAnsi" w:hAnsiTheme="minorHAnsi" w:cstheme="minorHAnsi"/>
          <w:sz w:val="22"/>
          <w:szCs w:val="22"/>
        </w:rPr>
        <w:t xml:space="preserve">views and </w:t>
      </w:r>
      <w:r w:rsidRPr="00620131">
        <w:rPr>
          <w:rFonts w:asciiTheme="minorHAnsi" w:hAnsiTheme="minorHAnsi" w:cstheme="minorHAnsi"/>
          <w:sz w:val="22"/>
          <w:szCs w:val="22"/>
        </w:rPr>
        <w:t xml:space="preserve">relevant information from interested parties that will assist in </w:t>
      </w:r>
      <w:r w:rsidR="001F5CA8" w:rsidRPr="00620131">
        <w:rPr>
          <w:rFonts w:asciiTheme="minorHAnsi" w:hAnsiTheme="minorHAnsi" w:cstheme="minorHAnsi"/>
          <w:sz w:val="22"/>
          <w:szCs w:val="22"/>
        </w:rPr>
        <w:t>assessing the proposal to</w:t>
      </w:r>
      <w:r w:rsidR="001F5CA8" w:rsidRPr="00033B1F">
        <w:rPr>
          <w:rFonts w:asciiTheme="minorHAnsi" w:hAnsiTheme="minorHAnsi" w:cstheme="minorHAnsi"/>
          <w:sz w:val="22"/>
          <w:szCs w:val="22"/>
        </w:rPr>
        <w:t xml:space="preserve"> </w:t>
      </w:r>
      <w:r w:rsidR="004E46CA" w:rsidRPr="00033B1F">
        <w:rPr>
          <w:rFonts w:asciiTheme="minorHAnsi" w:hAnsiTheme="minorHAnsi" w:cstheme="minorHAnsi"/>
          <w:sz w:val="22"/>
          <w:szCs w:val="22"/>
        </w:rPr>
        <w:t xml:space="preserve">alter the way in which the provisions of the </w:t>
      </w:r>
      <w:r w:rsidRPr="00620131">
        <w:rPr>
          <w:rFonts w:asciiTheme="minorHAnsi" w:hAnsiTheme="minorHAnsi" w:cstheme="minorHAnsi"/>
          <w:sz w:val="22"/>
          <w:szCs w:val="22"/>
        </w:rPr>
        <w:t>CCA</w:t>
      </w:r>
      <w:r w:rsidR="004E46CA" w:rsidRPr="00620131">
        <w:rPr>
          <w:rFonts w:asciiTheme="minorHAnsi" w:hAnsiTheme="minorHAnsi" w:cstheme="minorHAnsi"/>
          <w:sz w:val="22"/>
          <w:szCs w:val="22"/>
        </w:rPr>
        <w:t xml:space="preserve"> are used to </w:t>
      </w:r>
      <w:r w:rsidR="00620131" w:rsidRPr="00620131">
        <w:rPr>
          <w:rFonts w:asciiTheme="minorHAnsi" w:hAnsiTheme="minorHAnsi" w:cstheme="minorHAnsi"/>
          <w:sz w:val="22"/>
          <w:szCs w:val="22"/>
        </w:rPr>
        <w:t>meet the government’s objectives relating to the safety and usefulness of child restraints</w:t>
      </w:r>
      <w:r w:rsidR="00221E3E" w:rsidRPr="00620131">
        <w:rPr>
          <w:rFonts w:asciiTheme="minorHAnsi" w:hAnsiTheme="minorHAnsi" w:cstheme="minorHAnsi"/>
          <w:sz w:val="22"/>
          <w:szCs w:val="22"/>
        </w:rPr>
        <w:t>. The current method is through</w:t>
      </w:r>
      <w:r w:rsidR="004E46CA" w:rsidRPr="00620131">
        <w:rPr>
          <w:rFonts w:asciiTheme="minorHAnsi" w:hAnsiTheme="minorHAnsi" w:cstheme="minorHAnsi"/>
          <w:sz w:val="22"/>
          <w:szCs w:val="22"/>
        </w:rPr>
        <w:t xml:space="preserve"> use of a mandatory product safety standard </w:t>
      </w:r>
      <w:r w:rsidR="00620131" w:rsidRPr="00620131">
        <w:rPr>
          <w:rFonts w:asciiTheme="minorHAnsi" w:hAnsiTheme="minorHAnsi" w:cstheme="minorHAnsi"/>
          <w:sz w:val="22"/>
          <w:szCs w:val="22"/>
        </w:rPr>
        <w:t xml:space="preserve">(the </w:t>
      </w:r>
      <w:r w:rsidR="00620131" w:rsidRPr="00157767">
        <w:rPr>
          <w:rFonts w:asciiTheme="minorHAnsi" w:hAnsiTheme="minorHAnsi" w:cstheme="minorHAnsi"/>
          <w:b/>
          <w:sz w:val="22"/>
          <w:szCs w:val="22"/>
        </w:rPr>
        <w:t>safety standard</w:t>
      </w:r>
      <w:r w:rsidR="00620131" w:rsidRPr="00620131">
        <w:rPr>
          <w:rFonts w:asciiTheme="minorHAnsi" w:hAnsiTheme="minorHAnsi" w:cstheme="minorHAnsi"/>
          <w:sz w:val="22"/>
          <w:szCs w:val="22"/>
        </w:rPr>
        <w:t>)</w:t>
      </w:r>
      <w:r w:rsidR="00347BF1">
        <w:rPr>
          <w:rFonts w:asciiTheme="minorHAnsi" w:hAnsiTheme="minorHAnsi" w:cstheme="minorHAnsi"/>
          <w:sz w:val="22"/>
          <w:szCs w:val="22"/>
        </w:rPr>
        <w:t xml:space="preserve"> which</w:t>
      </w:r>
      <w:r w:rsidR="00620131" w:rsidRPr="00620131">
        <w:rPr>
          <w:rFonts w:asciiTheme="minorHAnsi" w:hAnsiTheme="minorHAnsi" w:cstheme="minorHAnsi"/>
          <w:sz w:val="22"/>
          <w:szCs w:val="22"/>
        </w:rPr>
        <w:t xml:space="preserve"> </w:t>
      </w:r>
      <w:r w:rsidR="00620131" w:rsidRPr="00157767">
        <w:rPr>
          <w:rFonts w:asciiTheme="minorHAnsi" w:hAnsiTheme="minorHAnsi" w:cstheme="minorHAnsi"/>
          <w:sz w:val="22"/>
          <w:szCs w:val="22"/>
        </w:rPr>
        <w:t xml:space="preserve">references </w:t>
      </w:r>
      <w:r w:rsidR="00620131">
        <w:rPr>
          <w:rFonts w:asciiTheme="minorHAnsi" w:hAnsiTheme="minorHAnsi" w:cstheme="minorHAnsi"/>
          <w:sz w:val="22"/>
          <w:szCs w:val="22"/>
        </w:rPr>
        <w:t xml:space="preserve">several versions of </w:t>
      </w:r>
      <w:r w:rsidR="00620131" w:rsidRPr="00157767">
        <w:rPr>
          <w:rFonts w:asciiTheme="minorHAnsi" w:hAnsiTheme="minorHAnsi" w:cstheme="minorHAnsi"/>
          <w:sz w:val="22"/>
          <w:szCs w:val="22"/>
        </w:rPr>
        <w:t>AS/NZS</w:t>
      </w:r>
      <w:r w:rsidR="00C811E9">
        <w:rPr>
          <w:rFonts w:asciiTheme="minorHAnsi" w:hAnsiTheme="minorHAnsi" w:cstheme="minorHAnsi"/>
          <w:sz w:val="22"/>
          <w:szCs w:val="22"/>
        </w:rPr>
        <w:t xml:space="preserve"> </w:t>
      </w:r>
      <w:r w:rsidR="00620131">
        <w:rPr>
          <w:rFonts w:asciiTheme="minorHAnsi" w:hAnsiTheme="minorHAnsi" w:cstheme="minorHAnsi"/>
          <w:sz w:val="22"/>
          <w:szCs w:val="22"/>
        </w:rPr>
        <w:t>1754 with some variations.</w:t>
      </w:r>
      <w:r w:rsidR="00347BF1">
        <w:rPr>
          <w:rFonts w:asciiTheme="minorHAnsi" w:hAnsiTheme="minorHAnsi" w:cstheme="minorHAnsi"/>
          <w:sz w:val="22"/>
          <w:szCs w:val="22"/>
        </w:rPr>
        <w:t xml:space="preserve"> </w:t>
      </w:r>
      <w:r w:rsidR="00620131">
        <w:rPr>
          <w:rFonts w:asciiTheme="minorHAnsi" w:hAnsiTheme="minorHAnsi" w:cstheme="minorHAnsi"/>
          <w:sz w:val="22"/>
          <w:szCs w:val="22"/>
        </w:rPr>
        <w:t>I</w:t>
      </w:r>
      <w:r w:rsidR="00221E3E" w:rsidRPr="00620131">
        <w:rPr>
          <w:rFonts w:asciiTheme="minorHAnsi" w:hAnsiTheme="minorHAnsi" w:cstheme="minorHAnsi"/>
          <w:sz w:val="22"/>
          <w:szCs w:val="22"/>
        </w:rPr>
        <w:t xml:space="preserve">t is proposed that in future </w:t>
      </w:r>
      <w:r w:rsidR="004E46CA" w:rsidRPr="00620131">
        <w:rPr>
          <w:rFonts w:asciiTheme="minorHAnsi" w:hAnsiTheme="minorHAnsi" w:cstheme="minorHAnsi"/>
          <w:sz w:val="22"/>
          <w:szCs w:val="22"/>
        </w:rPr>
        <w:t>the general provisions of the CCA</w:t>
      </w:r>
      <w:r w:rsidR="00221E3E" w:rsidRPr="00620131">
        <w:rPr>
          <w:rFonts w:asciiTheme="minorHAnsi" w:hAnsiTheme="minorHAnsi" w:cstheme="minorHAnsi"/>
          <w:sz w:val="22"/>
          <w:szCs w:val="22"/>
        </w:rPr>
        <w:t xml:space="preserve"> be used</w:t>
      </w:r>
      <w:r w:rsidR="004E11D2" w:rsidRPr="00620131">
        <w:rPr>
          <w:rFonts w:asciiTheme="minorHAnsi" w:hAnsiTheme="minorHAnsi" w:cstheme="minorHAnsi"/>
          <w:sz w:val="22"/>
          <w:szCs w:val="22"/>
        </w:rPr>
        <w:t xml:space="preserve"> to support AS/NZS 1754 and the existing regulations of the State and Territory road authorities</w:t>
      </w:r>
      <w:r w:rsidRPr="00620131">
        <w:rPr>
          <w:rFonts w:asciiTheme="minorHAnsi" w:hAnsiTheme="minorHAnsi" w:cstheme="minorHAnsi"/>
          <w:sz w:val="22"/>
          <w:szCs w:val="22"/>
        </w:rPr>
        <w:t xml:space="preserve">. </w:t>
      </w:r>
    </w:p>
    <w:p w:rsidR="00AC56F7" w:rsidRPr="00620131" w:rsidRDefault="00AC56F7" w:rsidP="00D35000">
      <w:pPr>
        <w:spacing w:before="120" w:after="240" w:line="220" w:lineRule="atLeast"/>
        <w:jc w:val="both"/>
        <w:rPr>
          <w:rFonts w:asciiTheme="minorHAnsi" w:hAnsiTheme="minorHAnsi" w:cstheme="minorHAnsi"/>
          <w:sz w:val="22"/>
          <w:szCs w:val="22"/>
        </w:rPr>
      </w:pPr>
      <w:r w:rsidRPr="00620131">
        <w:rPr>
          <w:rFonts w:asciiTheme="minorHAnsi" w:hAnsiTheme="minorHAnsi" w:cstheme="minorHAnsi"/>
          <w:sz w:val="22"/>
          <w:szCs w:val="22"/>
        </w:rPr>
        <w:t xml:space="preserve">Of particular interest </w:t>
      </w:r>
      <w:r w:rsidR="00A5341E">
        <w:rPr>
          <w:rFonts w:asciiTheme="minorHAnsi" w:hAnsiTheme="minorHAnsi" w:cstheme="minorHAnsi"/>
          <w:sz w:val="22"/>
          <w:szCs w:val="22"/>
        </w:rPr>
        <w:t>in this cons</w:t>
      </w:r>
      <w:r w:rsidR="00347BF1">
        <w:rPr>
          <w:rFonts w:asciiTheme="minorHAnsi" w:hAnsiTheme="minorHAnsi" w:cstheme="minorHAnsi"/>
          <w:sz w:val="22"/>
          <w:szCs w:val="22"/>
        </w:rPr>
        <w:t>ultation</w:t>
      </w:r>
      <w:r w:rsidR="00A5341E">
        <w:rPr>
          <w:rFonts w:asciiTheme="minorHAnsi" w:hAnsiTheme="minorHAnsi" w:cstheme="minorHAnsi"/>
          <w:sz w:val="22"/>
          <w:szCs w:val="22"/>
        </w:rPr>
        <w:t xml:space="preserve"> </w:t>
      </w:r>
      <w:r w:rsidRPr="00620131">
        <w:rPr>
          <w:rFonts w:asciiTheme="minorHAnsi" w:hAnsiTheme="minorHAnsi" w:cstheme="minorHAnsi"/>
          <w:sz w:val="22"/>
          <w:szCs w:val="22"/>
        </w:rPr>
        <w:t xml:space="preserve">is any factual information which will assist in assessing the potential impacts and benefits of </w:t>
      </w:r>
      <w:r w:rsidR="00221E3E" w:rsidRPr="00620131">
        <w:rPr>
          <w:rFonts w:asciiTheme="minorHAnsi" w:hAnsiTheme="minorHAnsi" w:cstheme="minorHAnsi"/>
          <w:sz w:val="22"/>
          <w:szCs w:val="22"/>
        </w:rPr>
        <w:t>the proposal.</w:t>
      </w:r>
      <w:r w:rsidRPr="00620131">
        <w:rPr>
          <w:rFonts w:asciiTheme="minorHAnsi" w:hAnsiTheme="minorHAnsi" w:cstheme="minorHAnsi"/>
          <w:sz w:val="22"/>
          <w:szCs w:val="22"/>
        </w:rPr>
        <w:t xml:space="preserve">  Stakeholders should indicate </w:t>
      </w:r>
      <w:r w:rsidR="00221E3E" w:rsidRPr="00620131">
        <w:rPr>
          <w:rFonts w:asciiTheme="minorHAnsi" w:hAnsiTheme="minorHAnsi" w:cstheme="minorHAnsi"/>
          <w:sz w:val="22"/>
          <w:szCs w:val="22"/>
        </w:rPr>
        <w:t xml:space="preserve">their view of the change, </w:t>
      </w:r>
      <w:r w:rsidRPr="00620131">
        <w:rPr>
          <w:rFonts w:asciiTheme="minorHAnsi" w:hAnsiTheme="minorHAnsi" w:cstheme="minorHAnsi"/>
          <w:sz w:val="22"/>
          <w:szCs w:val="22"/>
        </w:rPr>
        <w:t xml:space="preserve">their rationale and any evidence that supports their view.  </w:t>
      </w:r>
    </w:p>
    <w:p w:rsidR="00823E13" w:rsidRPr="00620131" w:rsidRDefault="004E46CA" w:rsidP="00033B1F">
      <w:pPr>
        <w:spacing w:before="120" w:after="240" w:line="220" w:lineRule="atLeast"/>
        <w:jc w:val="both"/>
        <w:rPr>
          <w:rFonts w:asciiTheme="minorHAnsi" w:hAnsiTheme="minorHAnsi" w:cstheme="minorHAnsi"/>
          <w:sz w:val="22"/>
          <w:szCs w:val="22"/>
        </w:rPr>
      </w:pPr>
      <w:r w:rsidRPr="00620131">
        <w:rPr>
          <w:rFonts w:asciiTheme="minorHAnsi" w:hAnsiTheme="minorHAnsi" w:cstheme="minorHAnsi"/>
          <w:sz w:val="22"/>
          <w:szCs w:val="22"/>
        </w:rPr>
        <w:t>T</w:t>
      </w:r>
      <w:r w:rsidR="00AC56F7" w:rsidRPr="00620131">
        <w:rPr>
          <w:rFonts w:asciiTheme="minorHAnsi" w:hAnsiTheme="minorHAnsi" w:cstheme="minorHAnsi"/>
          <w:sz w:val="22"/>
          <w:szCs w:val="22"/>
        </w:rPr>
        <w:t xml:space="preserve">he Office of Best Practice Regulation has advised the </w:t>
      </w:r>
      <w:r w:rsidR="00CD6D3E" w:rsidRPr="00620131">
        <w:rPr>
          <w:rFonts w:asciiTheme="minorHAnsi" w:hAnsiTheme="minorHAnsi" w:cstheme="minorHAnsi"/>
          <w:sz w:val="22"/>
          <w:szCs w:val="22"/>
        </w:rPr>
        <w:t>Australian Competition and Consumer Commission (</w:t>
      </w:r>
      <w:r w:rsidR="00AC56F7" w:rsidRPr="00620131">
        <w:rPr>
          <w:rFonts w:asciiTheme="minorHAnsi" w:hAnsiTheme="minorHAnsi" w:cstheme="minorHAnsi"/>
          <w:sz w:val="22"/>
          <w:szCs w:val="22"/>
        </w:rPr>
        <w:t>ACCC</w:t>
      </w:r>
      <w:r w:rsidR="00CD6D3E" w:rsidRPr="00620131">
        <w:rPr>
          <w:rFonts w:asciiTheme="minorHAnsi" w:hAnsiTheme="minorHAnsi" w:cstheme="minorHAnsi"/>
          <w:sz w:val="22"/>
          <w:szCs w:val="22"/>
        </w:rPr>
        <w:t>)</w:t>
      </w:r>
      <w:r w:rsidR="00AC56F7" w:rsidRPr="00620131">
        <w:rPr>
          <w:rFonts w:asciiTheme="minorHAnsi" w:hAnsiTheme="minorHAnsi" w:cstheme="minorHAnsi"/>
          <w:sz w:val="22"/>
          <w:szCs w:val="22"/>
        </w:rPr>
        <w:t xml:space="preserve"> that a Regulation Impact Statement </w:t>
      </w:r>
      <w:r w:rsidRPr="00620131">
        <w:rPr>
          <w:rFonts w:asciiTheme="minorHAnsi" w:hAnsiTheme="minorHAnsi" w:cstheme="minorHAnsi"/>
          <w:sz w:val="22"/>
          <w:szCs w:val="22"/>
        </w:rPr>
        <w:t>is not required</w:t>
      </w:r>
      <w:r w:rsidR="00B061BA">
        <w:rPr>
          <w:rFonts w:asciiTheme="minorHAnsi" w:hAnsiTheme="minorHAnsi" w:cstheme="minorHAnsi"/>
          <w:sz w:val="22"/>
          <w:szCs w:val="22"/>
        </w:rPr>
        <w:t>. T</w:t>
      </w:r>
      <w:r w:rsidRPr="00620131">
        <w:rPr>
          <w:rFonts w:asciiTheme="minorHAnsi" w:hAnsiTheme="minorHAnsi" w:cstheme="minorHAnsi"/>
          <w:sz w:val="22"/>
          <w:szCs w:val="22"/>
        </w:rPr>
        <w:t xml:space="preserve">he </w:t>
      </w:r>
      <w:r w:rsidR="00823E13" w:rsidRPr="00620131">
        <w:rPr>
          <w:rFonts w:asciiTheme="minorHAnsi" w:hAnsiTheme="minorHAnsi" w:cstheme="minorHAnsi"/>
          <w:sz w:val="22"/>
          <w:szCs w:val="22"/>
        </w:rPr>
        <w:t>consultation process outlined in this paper</w:t>
      </w:r>
      <w:r w:rsidR="00823E13" w:rsidRPr="00620131">
        <w:rPr>
          <w:rFonts w:asciiTheme="minorHAnsi" w:hAnsiTheme="minorHAnsi" w:cstheme="minorHAnsi"/>
          <w:b/>
          <w:sz w:val="22"/>
          <w:szCs w:val="22"/>
        </w:rPr>
        <w:t xml:space="preserve"> may be the only opportunity for stakeholders to provide their input into the review process</w:t>
      </w:r>
      <w:r w:rsidRPr="00620131">
        <w:rPr>
          <w:rFonts w:asciiTheme="minorHAnsi" w:hAnsiTheme="minorHAnsi" w:cstheme="minorHAnsi"/>
          <w:b/>
          <w:sz w:val="22"/>
          <w:szCs w:val="22"/>
        </w:rPr>
        <w:t xml:space="preserve">. </w:t>
      </w:r>
      <w:r w:rsidRPr="00620131">
        <w:rPr>
          <w:rFonts w:asciiTheme="minorHAnsi" w:hAnsiTheme="minorHAnsi" w:cstheme="minorHAnsi"/>
          <w:sz w:val="22"/>
          <w:szCs w:val="22"/>
        </w:rPr>
        <w:t>All</w:t>
      </w:r>
      <w:r w:rsidR="00823E13" w:rsidRPr="00620131">
        <w:rPr>
          <w:rFonts w:asciiTheme="minorHAnsi" w:hAnsiTheme="minorHAnsi" w:cstheme="minorHAnsi"/>
          <w:sz w:val="22"/>
          <w:szCs w:val="22"/>
        </w:rPr>
        <w:t xml:space="preserve"> interested parties are encouraged to make submissions on the options or other issues relevant to the review even if they agree with the preferred option set out below.</w:t>
      </w:r>
    </w:p>
    <w:p w:rsidR="00AC56F7" w:rsidRPr="009C3704" w:rsidRDefault="00AC56F7" w:rsidP="009C3704">
      <w:pPr>
        <w:pStyle w:val="Heading1"/>
        <w:numPr>
          <w:ilvl w:val="0"/>
          <w:numId w:val="27"/>
        </w:numPr>
        <w:spacing w:before="120" w:after="240" w:line="220" w:lineRule="atLeast"/>
        <w:ind w:left="357" w:hanging="357"/>
        <w:jc w:val="both"/>
        <w:rPr>
          <w:rFonts w:asciiTheme="minorHAnsi" w:hAnsiTheme="minorHAnsi" w:cstheme="minorHAnsi"/>
          <w:sz w:val="36"/>
        </w:rPr>
      </w:pPr>
      <w:bookmarkStart w:id="2" w:name="_Toc391378922"/>
      <w:r w:rsidRPr="009C3704">
        <w:rPr>
          <w:rFonts w:asciiTheme="minorHAnsi" w:hAnsiTheme="minorHAnsi" w:cstheme="minorHAnsi"/>
          <w:sz w:val="36"/>
        </w:rPr>
        <w:t>Background</w:t>
      </w:r>
      <w:bookmarkEnd w:id="2"/>
    </w:p>
    <w:p w:rsidR="00AC56F7" w:rsidRPr="00D35000" w:rsidRDefault="00AC56F7" w:rsidP="009C3704">
      <w:pPr>
        <w:spacing w:before="120" w:after="240" w:line="220" w:lineRule="atLeast"/>
        <w:jc w:val="both"/>
        <w:rPr>
          <w:rFonts w:asciiTheme="minorHAnsi" w:hAnsiTheme="minorHAnsi" w:cstheme="minorHAnsi"/>
          <w:b/>
          <w:sz w:val="22"/>
          <w:szCs w:val="22"/>
        </w:rPr>
      </w:pPr>
      <w:r w:rsidRPr="00D35000">
        <w:rPr>
          <w:rFonts w:asciiTheme="minorHAnsi" w:hAnsiTheme="minorHAnsi" w:cstheme="minorHAnsi"/>
          <w:b/>
          <w:sz w:val="22"/>
          <w:szCs w:val="22"/>
        </w:rPr>
        <w:t xml:space="preserve">The current safety standard </w:t>
      </w:r>
    </w:p>
    <w:p w:rsidR="00E26D95" w:rsidRPr="00347BF1" w:rsidRDefault="00DF5FAE" w:rsidP="009C3704">
      <w:pPr>
        <w:spacing w:before="120" w:after="240" w:line="22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D35000" w:rsidRPr="00347BF1">
        <w:rPr>
          <w:rFonts w:asciiTheme="minorHAnsi" w:hAnsiTheme="minorHAnsi" w:cstheme="minorHAnsi"/>
          <w:color w:val="000000" w:themeColor="text1"/>
          <w:sz w:val="22"/>
          <w:szCs w:val="22"/>
        </w:rPr>
        <w:t xml:space="preserve"> safety standard is currently in place for </w:t>
      </w:r>
      <w:r w:rsidR="00D35000" w:rsidRPr="00347BF1">
        <w:rPr>
          <w:rFonts w:asciiTheme="minorHAnsi" w:hAnsiTheme="minorHAnsi" w:cstheme="minorHAnsi"/>
          <w:bCs/>
          <w:color w:val="000000" w:themeColor="text1"/>
          <w:sz w:val="22"/>
          <w:szCs w:val="22"/>
        </w:rPr>
        <w:t>child restraint systems for use in motor vehicles.</w:t>
      </w:r>
      <w:r w:rsidR="00D35000" w:rsidRPr="00347BF1">
        <w:rPr>
          <w:rFonts w:ascii="Calibri" w:eastAsia="Calibri" w:hAnsi="Calibri" w:cs="Calibri"/>
          <w:color w:val="000000" w:themeColor="text1"/>
          <w:sz w:val="22"/>
          <w:szCs w:val="22"/>
          <w:lang w:val="en-AU" w:eastAsia="en-US"/>
        </w:rPr>
        <w:t xml:space="preserve"> </w:t>
      </w:r>
      <w:r w:rsidR="00A5341E" w:rsidRPr="00347BF1">
        <w:rPr>
          <w:rFonts w:asciiTheme="minorHAnsi" w:eastAsia="Calibri" w:hAnsiTheme="minorHAnsi" w:cstheme="minorHAnsi"/>
          <w:color w:val="000000" w:themeColor="text1"/>
          <w:sz w:val="22"/>
          <w:szCs w:val="22"/>
          <w:lang w:val="en-AU" w:eastAsia="en-US"/>
        </w:rPr>
        <w:t>It</w:t>
      </w:r>
      <w:r w:rsidR="00E26D95" w:rsidRPr="00347BF1">
        <w:rPr>
          <w:rFonts w:asciiTheme="minorHAnsi" w:eastAsia="Calibri" w:hAnsiTheme="minorHAnsi" w:cstheme="minorHAnsi"/>
          <w:color w:val="000000" w:themeColor="text1"/>
          <w:sz w:val="22"/>
          <w:szCs w:val="22"/>
          <w:lang w:val="en-AU" w:eastAsia="en-US"/>
        </w:rPr>
        <w:t xml:space="preserve"> first came into effect on 7 November 1978 and was last amended 7 May 2011. </w:t>
      </w:r>
      <w:r w:rsidR="00E26D95" w:rsidRPr="00347BF1">
        <w:rPr>
          <w:rFonts w:asciiTheme="minorHAnsi" w:hAnsiTheme="minorHAnsi" w:cstheme="minorHAnsi"/>
          <w:color w:val="000000" w:themeColor="text1"/>
          <w:sz w:val="22"/>
          <w:szCs w:val="22"/>
        </w:rPr>
        <w:t xml:space="preserve">The safety standard was first made under the provisions of the </w:t>
      </w:r>
      <w:r w:rsidR="00E26D95" w:rsidRPr="00347BF1">
        <w:rPr>
          <w:rFonts w:asciiTheme="minorHAnsi" w:hAnsiTheme="minorHAnsi" w:cstheme="minorHAnsi"/>
          <w:i/>
          <w:color w:val="000000" w:themeColor="text1"/>
          <w:sz w:val="22"/>
          <w:szCs w:val="22"/>
        </w:rPr>
        <w:t>Trade Practices Act 1974</w:t>
      </w:r>
      <w:r w:rsidR="00E26D95" w:rsidRPr="00347BF1">
        <w:rPr>
          <w:rFonts w:asciiTheme="minorHAnsi" w:hAnsiTheme="minorHAnsi" w:cstheme="minorHAnsi"/>
          <w:color w:val="000000" w:themeColor="text1"/>
          <w:sz w:val="22"/>
          <w:szCs w:val="22"/>
        </w:rPr>
        <w:t xml:space="preserve"> (the </w:t>
      </w:r>
      <w:r w:rsidR="00E26D95" w:rsidRPr="00347BF1">
        <w:rPr>
          <w:rFonts w:asciiTheme="minorHAnsi" w:hAnsiTheme="minorHAnsi" w:cstheme="minorHAnsi"/>
          <w:b/>
          <w:color w:val="000000" w:themeColor="text1"/>
          <w:sz w:val="22"/>
          <w:szCs w:val="22"/>
        </w:rPr>
        <w:t>TPA</w:t>
      </w:r>
      <w:r w:rsidR="00E26D95" w:rsidRPr="00347BF1">
        <w:rPr>
          <w:rFonts w:asciiTheme="minorHAnsi" w:hAnsiTheme="minorHAnsi" w:cstheme="minorHAnsi"/>
          <w:color w:val="000000" w:themeColor="text1"/>
          <w:sz w:val="22"/>
          <w:szCs w:val="22"/>
        </w:rPr>
        <w:t>). The Australian Consumer Law (ACL), which is Schedule 2 to the CCA</w:t>
      </w:r>
      <w:r w:rsidR="006F225E" w:rsidRPr="00347BF1">
        <w:rPr>
          <w:rFonts w:asciiTheme="minorHAnsi" w:hAnsiTheme="minorHAnsi" w:cstheme="minorHAnsi"/>
          <w:color w:val="000000" w:themeColor="text1"/>
          <w:sz w:val="22"/>
          <w:szCs w:val="22"/>
        </w:rPr>
        <w:t>,</w:t>
      </w:r>
      <w:r w:rsidR="00E26D95" w:rsidRPr="00347BF1">
        <w:rPr>
          <w:rFonts w:asciiTheme="minorHAnsi" w:hAnsiTheme="minorHAnsi" w:cstheme="minorHAnsi"/>
          <w:color w:val="000000" w:themeColor="text1"/>
          <w:sz w:val="22"/>
          <w:szCs w:val="22"/>
        </w:rPr>
        <w:t xml:space="preserve"> took effect on 1 January 2011. </w:t>
      </w:r>
      <w:r w:rsidR="00D35000" w:rsidRPr="00347BF1">
        <w:rPr>
          <w:rFonts w:asciiTheme="minorHAnsi" w:hAnsiTheme="minorHAnsi" w:cstheme="minorHAnsi"/>
          <w:color w:val="000000" w:themeColor="text1"/>
          <w:sz w:val="22"/>
          <w:szCs w:val="22"/>
        </w:rPr>
        <w:t>Safety</w:t>
      </w:r>
      <w:r w:rsidR="00E26D95" w:rsidRPr="00347BF1">
        <w:rPr>
          <w:rFonts w:asciiTheme="minorHAnsi" w:hAnsiTheme="minorHAnsi" w:cstheme="minorHAnsi"/>
          <w:color w:val="000000" w:themeColor="text1"/>
          <w:sz w:val="22"/>
          <w:szCs w:val="22"/>
        </w:rPr>
        <w:t xml:space="preserve"> standards made under the TPA, such as the current </w:t>
      </w:r>
      <w:r w:rsidR="00D35000" w:rsidRPr="00347BF1">
        <w:rPr>
          <w:rFonts w:asciiTheme="minorHAnsi" w:hAnsiTheme="minorHAnsi" w:cstheme="minorHAnsi"/>
          <w:color w:val="000000" w:themeColor="text1"/>
          <w:sz w:val="22"/>
          <w:szCs w:val="22"/>
        </w:rPr>
        <w:t xml:space="preserve">safety </w:t>
      </w:r>
      <w:r w:rsidR="00E26D95" w:rsidRPr="00347BF1">
        <w:rPr>
          <w:rFonts w:asciiTheme="minorHAnsi" w:hAnsiTheme="minorHAnsi" w:cstheme="minorHAnsi"/>
          <w:color w:val="000000" w:themeColor="text1"/>
          <w:sz w:val="22"/>
          <w:szCs w:val="22"/>
        </w:rPr>
        <w:t>standard for child restraints, continued in force as if they had been made under the ACL.</w:t>
      </w:r>
    </w:p>
    <w:p w:rsidR="00E01C3E" w:rsidRPr="00D35000" w:rsidRDefault="00E01C3E" w:rsidP="009C3704">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 xml:space="preserve">The </w:t>
      </w:r>
      <w:r w:rsidR="00E26D95" w:rsidRPr="00033B1F">
        <w:rPr>
          <w:rFonts w:asciiTheme="minorHAnsi" w:hAnsiTheme="minorHAnsi" w:cstheme="minorHAnsi"/>
          <w:sz w:val="22"/>
          <w:szCs w:val="22"/>
        </w:rPr>
        <w:t xml:space="preserve">safety </w:t>
      </w:r>
      <w:r w:rsidRPr="00033B1F">
        <w:rPr>
          <w:rFonts w:asciiTheme="minorHAnsi" w:hAnsiTheme="minorHAnsi" w:cstheme="minorHAnsi"/>
          <w:sz w:val="22"/>
          <w:szCs w:val="22"/>
        </w:rPr>
        <w:t>standard is a legislative instrument and is registered on the Federal Register of Legislative Instruments (FRLI)</w:t>
      </w:r>
      <w:r w:rsidRPr="00D35000">
        <w:rPr>
          <w:rFonts w:asciiTheme="minorHAnsi" w:hAnsiTheme="minorHAnsi" w:cstheme="minorHAnsi"/>
          <w:sz w:val="22"/>
          <w:szCs w:val="22"/>
          <w:vertAlign w:val="superscript"/>
        </w:rPr>
        <w:footnoteReference w:id="5"/>
      </w:r>
      <w:r w:rsidRPr="00D35000">
        <w:rPr>
          <w:rFonts w:asciiTheme="minorHAnsi" w:hAnsiTheme="minorHAnsi" w:cstheme="minorHAnsi"/>
          <w:sz w:val="22"/>
          <w:szCs w:val="22"/>
        </w:rPr>
        <w:t xml:space="preserve"> </w:t>
      </w:r>
      <w:r w:rsidR="00E26D95" w:rsidRPr="00D35000">
        <w:rPr>
          <w:rFonts w:asciiTheme="minorHAnsi" w:hAnsiTheme="minorHAnsi" w:cstheme="minorHAnsi"/>
          <w:sz w:val="22"/>
          <w:szCs w:val="22"/>
        </w:rPr>
        <w:t>as Consumer Protection Notice No. 21</w:t>
      </w:r>
      <w:r w:rsidR="003B298D" w:rsidRPr="00D35000">
        <w:rPr>
          <w:rFonts w:asciiTheme="minorHAnsi" w:hAnsiTheme="minorHAnsi" w:cstheme="minorHAnsi"/>
          <w:sz w:val="22"/>
          <w:szCs w:val="22"/>
        </w:rPr>
        <w:t xml:space="preserve"> of 2011</w:t>
      </w:r>
      <w:r w:rsidR="00E26D95" w:rsidRPr="00D35000">
        <w:rPr>
          <w:rFonts w:asciiTheme="minorHAnsi" w:hAnsiTheme="minorHAnsi" w:cstheme="minorHAnsi"/>
          <w:sz w:val="22"/>
          <w:szCs w:val="22"/>
        </w:rPr>
        <w:t xml:space="preserve">- </w:t>
      </w:r>
      <w:r w:rsidR="00E26D95" w:rsidRPr="00D35000">
        <w:rPr>
          <w:rFonts w:asciiTheme="minorHAnsi" w:hAnsiTheme="minorHAnsi" w:cstheme="minorHAnsi"/>
          <w:i/>
          <w:sz w:val="22"/>
          <w:szCs w:val="22"/>
        </w:rPr>
        <w:t>Safety Standard: Child Restraint Systems for Use in Motor Vehicles</w:t>
      </w:r>
      <w:r w:rsidR="00E26D95" w:rsidRPr="00D35000">
        <w:rPr>
          <w:rFonts w:asciiTheme="minorHAnsi" w:hAnsiTheme="minorHAnsi" w:cstheme="minorHAnsi"/>
          <w:sz w:val="22"/>
          <w:szCs w:val="22"/>
        </w:rPr>
        <w:t>.</w:t>
      </w:r>
    </w:p>
    <w:p w:rsidR="00E01C3E" w:rsidRPr="00D35000" w:rsidRDefault="00E01C3E" w:rsidP="009C3704">
      <w:pPr>
        <w:spacing w:before="120" w:after="240" w:line="220" w:lineRule="atLeast"/>
        <w:jc w:val="both"/>
        <w:rPr>
          <w:rFonts w:asciiTheme="minorHAnsi" w:hAnsiTheme="minorHAnsi" w:cstheme="minorHAnsi"/>
          <w:sz w:val="22"/>
          <w:szCs w:val="22"/>
        </w:rPr>
      </w:pPr>
      <w:r w:rsidRPr="00D35000">
        <w:rPr>
          <w:rFonts w:asciiTheme="minorHAnsi" w:hAnsiTheme="minorHAnsi" w:cstheme="minorHAnsi"/>
          <w:sz w:val="22"/>
          <w:szCs w:val="22"/>
        </w:rPr>
        <w:t xml:space="preserve">The purpose of the </w:t>
      </w:r>
      <w:r w:rsidR="00D35000">
        <w:rPr>
          <w:rFonts w:asciiTheme="minorHAnsi" w:hAnsiTheme="minorHAnsi" w:cstheme="minorHAnsi"/>
          <w:sz w:val="22"/>
          <w:szCs w:val="22"/>
        </w:rPr>
        <w:t>safety s</w:t>
      </w:r>
      <w:r w:rsidRPr="00D35000">
        <w:rPr>
          <w:rFonts w:asciiTheme="minorHAnsi" w:hAnsiTheme="minorHAnsi" w:cstheme="minorHAnsi"/>
          <w:sz w:val="22"/>
          <w:szCs w:val="22"/>
        </w:rPr>
        <w:t xml:space="preserve">tandard is to </w:t>
      </w:r>
      <w:r w:rsidR="00157767">
        <w:rPr>
          <w:rFonts w:asciiTheme="minorHAnsi" w:hAnsiTheme="minorHAnsi" w:cstheme="minorHAnsi"/>
          <w:sz w:val="22"/>
          <w:szCs w:val="22"/>
        </w:rPr>
        <w:t xml:space="preserve">support a broader road safety objective of reducing injuries to children involved in motor vehicle accidents.  It </w:t>
      </w:r>
      <w:r w:rsidRPr="00D35000">
        <w:rPr>
          <w:rFonts w:asciiTheme="minorHAnsi" w:hAnsiTheme="minorHAnsi" w:cstheme="minorHAnsi"/>
          <w:sz w:val="22"/>
          <w:szCs w:val="22"/>
        </w:rPr>
        <w:t>ensure</w:t>
      </w:r>
      <w:r w:rsidR="00157767">
        <w:rPr>
          <w:rFonts w:asciiTheme="minorHAnsi" w:hAnsiTheme="minorHAnsi" w:cstheme="minorHAnsi"/>
          <w:sz w:val="22"/>
          <w:szCs w:val="22"/>
        </w:rPr>
        <w:t>s</w:t>
      </w:r>
      <w:r w:rsidRPr="00D35000">
        <w:rPr>
          <w:rFonts w:asciiTheme="minorHAnsi" w:hAnsiTheme="minorHAnsi" w:cstheme="minorHAnsi"/>
          <w:sz w:val="22"/>
          <w:szCs w:val="22"/>
        </w:rPr>
        <w:t xml:space="preserve"> that child restraints supplied on the Australian market have key safety features </w:t>
      </w:r>
      <w:r w:rsidR="00B62D7B" w:rsidRPr="00D35000">
        <w:rPr>
          <w:rFonts w:asciiTheme="minorHAnsi" w:hAnsiTheme="minorHAnsi" w:cstheme="minorHAnsi"/>
          <w:sz w:val="22"/>
          <w:szCs w:val="22"/>
        </w:rPr>
        <w:t xml:space="preserve">considered reasonably necessary to reduce the risk </w:t>
      </w:r>
      <w:r w:rsidRPr="00D35000">
        <w:rPr>
          <w:rFonts w:asciiTheme="minorHAnsi" w:hAnsiTheme="minorHAnsi" w:cstheme="minorHAnsi"/>
          <w:sz w:val="22"/>
          <w:szCs w:val="22"/>
        </w:rPr>
        <w:t>of injury to/death of a child while travelling in a motor vehicle.</w:t>
      </w:r>
    </w:p>
    <w:p w:rsidR="00C749C0" w:rsidRPr="00D35000" w:rsidRDefault="00E01C3E" w:rsidP="009C3704">
      <w:pPr>
        <w:spacing w:before="120" w:after="240" w:line="220" w:lineRule="atLeast"/>
        <w:jc w:val="both"/>
        <w:rPr>
          <w:rFonts w:asciiTheme="minorHAnsi" w:eastAsia="Calibri" w:hAnsiTheme="minorHAnsi" w:cstheme="minorHAnsi"/>
          <w:color w:val="333333"/>
          <w:sz w:val="22"/>
          <w:szCs w:val="22"/>
          <w:lang w:val="en-AU" w:eastAsia="en-US"/>
        </w:rPr>
      </w:pPr>
      <w:r w:rsidRPr="00D35000">
        <w:rPr>
          <w:rStyle w:val="contentossregulation"/>
          <w:rFonts w:asciiTheme="minorHAnsi" w:hAnsiTheme="minorHAnsi" w:cstheme="minorHAnsi"/>
          <w:color w:val="333333"/>
          <w:sz w:val="22"/>
          <w:szCs w:val="22"/>
        </w:rPr>
        <w:t>A</w:t>
      </w:r>
      <w:r w:rsidR="00C749C0" w:rsidRPr="00D35000">
        <w:rPr>
          <w:rFonts w:asciiTheme="minorHAnsi" w:hAnsiTheme="minorHAnsi" w:cstheme="minorHAnsi"/>
          <w:sz w:val="22"/>
          <w:szCs w:val="22"/>
        </w:rPr>
        <w:t xml:space="preserve"> person must not, in trade or commerce, supply consumer goods of a particular kind if a safety standard for consumer goods of that kind is in force and those goods do not comply with the standard</w:t>
      </w:r>
      <w:r w:rsidR="007C3AB2">
        <w:rPr>
          <w:rFonts w:asciiTheme="minorHAnsi" w:hAnsiTheme="minorHAnsi" w:cstheme="minorHAnsi"/>
          <w:sz w:val="22"/>
          <w:szCs w:val="22"/>
        </w:rPr>
        <w:t>.</w:t>
      </w:r>
    </w:p>
    <w:p w:rsidR="0038292B" w:rsidRPr="00347BF1" w:rsidRDefault="00045551" w:rsidP="00157767">
      <w:pPr>
        <w:spacing w:before="120" w:after="120" w:line="220" w:lineRule="atLeast"/>
        <w:jc w:val="both"/>
        <w:rPr>
          <w:rFonts w:asciiTheme="minorHAnsi" w:hAnsiTheme="minorHAnsi" w:cstheme="minorHAnsi"/>
          <w:color w:val="000000" w:themeColor="text1"/>
          <w:sz w:val="22"/>
          <w:szCs w:val="22"/>
        </w:rPr>
      </w:pPr>
      <w:r w:rsidRPr="00347BF1">
        <w:rPr>
          <w:rFonts w:asciiTheme="minorHAnsi" w:eastAsia="Calibri" w:hAnsiTheme="minorHAnsi" w:cstheme="minorHAnsi"/>
          <w:color w:val="000000" w:themeColor="text1"/>
          <w:sz w:val="22"/>
          <w:szCs w:val="22"/>
          <w:lang w:val="en-AU" w:eastAsia="en-US"/>
        </w:rPr>
        <w:t>The safety standard declares that the 2000, 2004 and 2010 versions of AS/NZS 1754</w:t>
      </w:r>
      <w:r w:rsidRPr="00347BF1">
        <w:rPr>
          <w:rFonts w:asciiTheme="minorHAnsi" w:eastAsia="Calibri" w:hAnsiTheme="minorHAnsi" w:cstheme="minorHAnsi"/>
          <w:b/>
          <w:color w:val="000000" w:themeColor="text1"/>
          <w:sz w:val="22"/>
          <w:szCs w:val="22"/>
          <w:lang w:val="en-AU" w:eastAsia="en-US"/>
        </w:rPr>
        <w:t xml:space="preserve">, </w:t>
      </w:r>
      <w:r w:rsidRPr="00347BF1">
        <w:rPr>
          <w:rFonts w:asciiTheme="minorHAnsi" w:eastAsia="Calibri" w:hAnsiTheme="minorHAnsi" w:cstheme="minorHAnsi"/>
          <w:color w:val="000000" w:themeColor="text1"/>
          <w:sz w:val="22"/>
          <w:szCs w:val="22"/>
          <w:lang w:val="en-AU" w:eastAsia="en-US"/>
        </w:rPr>
        <w:t>with some variations is a safety standard for the purpose of s105 of the</w:t>
      </w:r>
      <w:r w:rsidR="00E26D95" w:rsidRPr="00347BF1">
        <w:rPr>
          <w:rFonts w:asciiTheme="minorHAnsi" w:eastAsia="Calibri" w:hAnsiTheme="minorHAnsi" w:cstheme="minorHAnsi"/>
          <w:color w:val="000000" w:themeColor="text1"/>
          <w:sz w:val="22"/>
          <w:szCs w:val="22"/>
          <w:lang w:val="en-AU" w:eastAsia="en-US"/>
        </w:rPr>
        <w:t xml:space="preserve"> </w:t>
      </w:r>
      <w:r w:rsidR="00C811E9">
        <w:rPr>
          <w:rFonts w:asciiTheme="minorHAnsi" w:eastAsia="Calibri" w:hAnsiTheme="minorHAnsi" w:cstheme="minorHAnsi"/>
          <w:color w:val="000000" w:themeColor="text1"/>
          <w:sz w:val="22"/>
          <w:szCs w:val="22"/>
          <w:lang w:val="en-AU" w:eastAsia="en-US"/>
        </w:rPr>
        <w:t>ACL</w:t>
      </w:r>
      <w:r w:rsidRPr="00347BF1">
        <w:rPr>
          <w:rFonts w:asciiTheme="minorHAnsi" w:eastAsia="Calibri" w:hAnsiTheme="minorHAnsi" w:cstheme="minorHAnsi"/>
          <w:color w:val="000000" w:themeColor="text1"/>
          <w:sz w:val="22"/>
          <w:szCs w:val="22"/>
          <w:lang w:val="en-AU" w:eastAsia="en-US"/>
        </w:rPr>
        <w:t>.</w:t>
      </w:r>
      <w:r w:rsidR="00E26D95" w:rsidRPr="00347BF1">
        <w:rPr>
          <w:rFonts w:asciiTheme="minorHAnsi" w:eastAsia="Calibri" w:hAnsiTheme="minorHAnsi" w:cstheme="minorHAnsi"/>
          <w:color w:val="000000" w:themeColor="text1"/>
          <w:sz w:val="22"/>
          <w:szCs w:val="22"/>
          <w:lang w:val="en-AU" w:eastAsia="en-US"/>
        </w:rPr>
        <w:t xml:space="preserve"> </w:t>
      </w:r>
      <w:r w:rsidR="00157767" w:rsidRPr="00347BF1">
        <w:rPr>
          <w:rFonts w:asciiTheme="minorHAnsi" w:eastAsia="Calibri" w:hAnsiTheme="minorHAnsi" w:cstheme="minorHAnsi"/>
          <w:color w:val="000000" w:themeColor="text1"/>
          <w:sz w:val="22"/>
          <w:szCs w:val="22"/>
          <w:lang w:val="en-AU" w:eastAsia="en-US"/>
        </w:rPr>
        <w:t xml:space="preserve">The safety standard has requirements, based on the requirements described in AS/NZS 1754 which relate </w:t>
      </w:r>
      <w:r w:rsidR="0038292B" w:rsidRPr="00347BF1">
        <w:rPr>
          <w:rFonts w:asciiTheme="minorHAnsi" w:eastAsia="Calibri" w:hAnsiTheme="minorHAnsi" w:cstheme="minorHAnsi"/>
          <w:color w:val="000000" w:themeColor="text1"/>
          <w:sz w:val="22"/>
          <w:szCs w:val="22"/>
          <w:lang w:val="en-AU" w:eastAsia="en-US"/>
        </w:rPr>
        <w:t>to</w:t>
      </w:r>
      <w:r w:rsidR="0038292B" w:rsidRPr="00347BF1">
        <w:rPr>
          <w:rFonts w:asciiTheme="minorHAnsi" w:hAnsiTheme="minorHAnsi" w:cstheme="minorHAnsi"/>
          <w:color w:val="000000" w:themeColor="text1"/>
          <w:sz w:val="22"/>
          <w:szCs w:val="22"/>
        </w:rPr>
        <w:t>:</w:t>
      </w:r>
    </w:p>
    <w:p w:rsidR="00162214" w:rsidRPr="00162214" w:rsidRDefault="00DF5FAE" w:rsidP="00162214">
      <w:pPr>
        <w:pStyle w:val="Bulletpoint"/>
        <w:rPr>
          <w:rFonts w:ascii="Calibri" w:hAnsi="Calibri" w:cs="Calibri"/>
          <w:lang w:val="en-GB"/>
        </w:rPr>
      </w:pPr>
      <w:r>
        <w:rPr>
          <w:rFonts w:ascii="Calibri" w:hAnsi="Calibri" w:cs="Calibri"/>
          <w:lang w:val="en-GB"/>
        </w:rPr>
        <w:lastRenderedPageBreak/>
        <w:t>m</w:t>
      </w:r>
      <w:r w:rsidR="00162214" w:rsidRPr="00162214">
        <w:rPr>
          <w:rFonts w:ascii="Calibri" w:hAnsi="Calibri" w:cs="Calibri"/>
          <w:lang w:val="en-GB"/>
        </w:rPr>
        <w:t>aterials</w:t>
      </w:r>
      <w:r w:rsidR="00C811E9">
        <w:rPr>
          <w:rFonts w:ascii="Calibri" w:hAnsi="Calibri" w:cs="Calibri"/>
          <w:lang w:val="en-GB"/>
        </w:rPr>
        <w:t>;</w:t>
      </w:r>
    </w:p>
    <w:p w:rsidR="00162214" w:rsidRPr="00162214" w:rsidRDefault="00162214" w:rsidP="00162214">
      <w:pPr>
        <w:pStyle w:val="Bulletpoint"/>
        <w:rPr>
          <w:rFonts w:ascii="Calibri" w:hAnsi="Calibri" w:cs="Calibri"/>
          <w:lang w:val="en-GB"/>
        </w:rPr>
      </w:pPr>
      <w:r w:rsidRPr="00162214">
        <w:rPr>
          <w:rFonts w:ascii="Calibri" w:hAnsi="Calibri" w:cs="Calibri"/>
          <w:lang w:val="en-GB"/>
        </w:rPr>
        <w:t>design and construction</w:t>
      </w:r>
      <w:r w:rsidR="00C811E9">
        <w:rPr>
          <w:rFonts w:ascii="Calibri" w:hAnsi="Calibri" w:cs="Calibri"/>
          <w:lang w:val="en-GB"/>
        </w:rPr>
        <w:t>;</w:t>
      </w:r>
    </w:p>
    <w:p w:rsidR="00162214" w:rsidRPr="00162214" w:rsidRDefault="00162214" w:rsidP="00162214">
      <w:pPr>
        <w:pStyle w:val="Bulletpoint"/>
        <w:rPr>
          <w:rFonts w:ascii="Calibri" w:hAnsi="Calibri" w:cs="Calibri"/>
          <w:lang w:val="en-GB"/>
        </w:rPr>
      </w:pPr>
      <w:r w:rsidRPr="00162214">
        <w:rPr>
          <w:rFonts w:ascii="Calibri" w:hAnsi="Calibri" w:cs="Calibri"/>
          <w:lang w:val="en-GB"/>
        </w:rPr>
        <w:t>performance</w:t>
      </w:r>
      <w:r w:rsidR="00C811E9">
        <w:rPr>
          <w:rFonts w:ascii="Calibri" w:hAnsi="Calibri" w:cs="Calibri"/>
          <w:lang w:val="en-GB"/>
        </w:rPr>
        <w:t>;</w:t>
      </w:r>
    </w:p>
    <w:p w:rsidR="00162214" w:rsidRDefault="00162214" w:rsidP="00162214">
      <w:pPr>
        <w:pStyle w:val="Bulletpoint"/>
        <w:rPr>
          <w:rFonts w:ascii="Calibri" w:hAnsi="Calibri" w:cs="Calibri"/>
          <w:lang w:val="en-GB"/>
        </w:rPr>
      </w:pPr>
      <w:r w:rsidRPr="00162214">
        <w:rPr>
          <w:rFonts w:ascii="Calibri" w:hAnsi="Calibri" w:cs="Calibri"/>
          <w:lang w:val="en-GB"/>
        </w:rPr>
        <w:t>testing</w:t>
      </w:r>
      <w:r w:rsidR="00C811E9">
        <w:rPr>
          <w:rFonts w:ascii="Calibri" w:hAnsi="Calibri" w:cs="Calibri"/>
          <w:lang w:val="en-GB"/>
        </w:rPr>
        <w:t>;</w:t>
      </w:r>
    </w:p>
    <w:p w:rsidR="00C811E9" w:rsidRDefault="00C811E9" w:rsidP="00162214">
      <w:pPr>
        <w:pStyle w:val="Bulletpoint"/>
        <w:rPr>
          <w:rFonts w:ascii="Calibri" w:hAnsi="Calibri" w:cs="Calibri"/>
          <w:lang w:val="en-GB"/>
        </w:rPr>
      </w:pPr>
      <w:r w:rsidRPr="00162214">
        <w:rPr>
          <w:rFonts w:ascii="Calibri" w:hAnsi="Calibri" w:cs="Calibri"/>
          <w:lang w:val="en-GB"/>
        </w:rPr>
        <w:t>instructions to be supplied for installation of the upper anchorage fittings;</w:t>
      </w:r>
    </w:p>
    <w:p w:rsidR="00C811E9" w:rsidRPr="00162214" w:rsidRDefault="00C811E9" w:rsidP="00162214">
      <w:pPr>
        <w:pStyle w:val="Bulletpoint"/>
        <w:rPr>
          <w:rFonts w:ascii="Calibri" w:hAnsi="Calibri" w:cs="Calibri"/>
          <w:lang w:val="en-GB"/>
        </w:rPr>
      </w:pPr>
      <w:r w:rsidRPr="00162214">
        <w:rPr>
          <w:rFonts w:ascii="Calibri" w:hAnsi="Calibri" w:cs="Calibri"/>
          <w:lang w:val="en-GB"/>
        </w:rPr>
        <w:t>an explanation of the new shoulder designation system for choosing an appropriate child restraint</w:t>
      </w:r>
      <w:r>
        <w:rPr>
          <w:rFonts w:ascii="Calibri" w:hAnsi="Calibri" w:cs="Calibri"/>
          <w:lang w:val="en-GB"/>
        </w:rPr>
        <w:t>;</w:t>
      </w:r>
    </w:p>
    <w:p w:rsidR="00347BF1" w:rsidRPr="00347BF1" w:rsidRDefault="00162214" w:rsidP="00347BF1">
      <w:pPr>
        <w:pStyle w:val="Bulletpoint"/>
        <w:rPr>
          <w:rFonts w:ascii="Calibri" w:hAnsi="Calibri" w:cs="Calibri"/>
        </w:rPr>
      </w:pPr>
      <w:r w:rsidRPr="00162214">
        <w:rPr>
          <w:rFonts w:ascii="Calibri" w:hAnsi="Calibri" w:cs="Calibri"/>
          <w:lang w:val="en-GB"/>
        </w:rPr>
        <w:t>informative labelling, instructions, marking and packaging</w:t>
      </w:r>
      <w:r w:rsidR="00C811E9">
        <w:rPr>
          <w:rFonts w:ascii="Calibri" w:hAnsi="Calibri" w:cs="Calibri"/>
          <w:lang w:val="en-GB"/>
        </w:rPr>
        <w:t>; and</w:t>
      </w:r>
    </w:p>
    <w:p w:rsidR="00347BF1" w:rsidRPr="00347BF1" w:rsidRDefault="00162214" w:rsidP="00347BF1">
      <w:pPr>
        <w:pStyle w:val="Bulletpoint"/>
        <w:rPr>
          <w:rFonts w:ascii="Calibri" w:hAnsi="Calibri" w:cs="Calibri"/>
        </w:rPr>
      </w:pPr>
      <w:r w:rsidRPr="00347BF1">
        <w:rPr>
          <w:rFonts w:ascii="Calibri" w:hAnsi="Calibri" w:cs="Calibri"/>
          <w:lang w:val="en-GB"/>
        </w:rPr>
        <w:t>clothing for test dummies</w:t>
      </w:r>
      <w:r w:rsidR="00C811E9" w:rsidRPr="00347BF1">
        <w:rPr>
          <w:rFonts w:ascii="Calibri" w:hAnsi="Calibri" w:cs="Calibri"/>
          <w:lang w:val="en-GB"/>
        </w:rPr>
        <w:t>,</w:t>
      </w:r>
      <w:r w:rsidRPr="00347BF1">
        <w:rPr>
          <w:rFonts w:ascii="Calibri" w:hAnsi="Calibri" w:cs="Calibri"/>
          <w:lang w:val="en-GB"/>
        </w:rPr>
        <w:t xml:space="preserve"> spacers for attachment to test dummies</w:t>
      </w:r>
      <w:r w:rsidR="00C811E9" w:rsidRPr="00347BF1">
        <w:rPr>
          <w:rFonts w:ascii="Calibri" w:hAnsi="Calibri" w:cs="Calibri"/>
          <w:lang w:val="en-GB"/>
        </w:rPr>
        <w:t>, and</w:t>
      </w:r>
      <w:r w:rsidRPr="00347BF1">
        <w:rPr>
          <w:rFonts w:ascii="Calibri" w:hAnsi="Calibri" w:cs="Calibri"/>
          <w:lang w:val="en-GB"/>
        </w:rPr>
        <w:t xml:space="preserve"> recommended dummy types.</w:t>
      </w:r>
    </w:p>
    <w:p w:rsidR="00AC56F7" w:rsidRPr="00D35000" w:rsidRDefault="00AC56F7" w:rsidP="00033B1F">
      <w:pPr>
        <w:spacing w:before="360" w:after="240" w:line="220" w:lineRule="atLeast"/>
        <w:jc w:val="both"/>
        <w:rPr>
          <w:rFonts w:asciiTheme="minorHAnsi" w:hAnsiTheme="minorHAnsi" w:cstheme="minorHAnsi"/>
          <w:b/>
          <w:sz w:val="22"/>
          <w:szCs w:val="22"/>
        </w:rPr>
      </w:pPr>
      <w:r w:rsidRPr="00D35000">
        <w:rPr>
          <w:rFonts w:asciiTheme="minorHAnsi" w:hAnsiTheme="minorHAnsi" w:cstheme="minorHAnsi"/>
          <w:b/>
          <w:sz w:val="22"/>
          <w:szCs w:val="22"/>
        </w:rPr>
        <w:t xml:space="preserve">The </w:t>
      </w:r>
      <w:r w:rsidR="00B200AE" w:rsidRPr="00D35000">
        <w:rPr>
          <w:rFonts w:asciiTheme="minorHAnsi" w:hAnsiTheme="minorHAnsi" w:cstheme="minorHAnsi"/>
          <w:b/>
          <w:sz w:val="22"/>
          <w:szCs w:val="22"/>
        </w:rPr>
        <w:t xml:space="preserve">2013 </w:t>
      </w:r>
      <w:r w:rsidRPr="00D35000">
        <w:rPr>
          <w:rFonts w:asciiTheme="minorHAnsi" w:hAnsiTheme="minorHAnsi" w:cstheme="minorHAnsi"/>
          <w:b/>
          <w:sz w:val="22"/>
          <w:szCs w:val="22"/>
        </w:rPr>
        <w:t xml:space="preserve">version of </w:t>
      </w:r>
      <w:r w:rsidR="00A5341E">
        <w:rPr>
          <w:rFonts w:asciiTheme="minorHAnsi" w:hAnsiTheme="minorHAnsi" w:cstheme="minorHAnsi"/>
          <w:b/>
          <w:sz w:val="22"/>
          <w:szCs w:val="22"/>
        </w:rPr>
        <w:t>AS/NZS 1754</w:t>
      </w:r>
    </w:p>
    <w:p w:rsidR="00223E72" w:rsidRPr="00D35000" w:rsidRDefault="00033B1F" w:rsidP="00D35000">
      <w:pPr>
        <w:spacing w:before="120" w:after="240" w:line="220" w:lineRule="atLeast"/>
        <w:jc w:val="both"/>
        <w:rPr>
          <w:rFonts w:asciiTheme="minorHAnsi" w:hAnsiTheme="minorHAnsi" w:cstheme="minorHAnsi"/>
          <w:sz w:val="22"/>
          <w:szCs w:val="22"/>
        </w:rPr>
      </w:pPr>
      <w:r>
        <w:rPr>
          <w:rFonts w:asciiTheme="minorHAnsi" w:hAnsiTheme="minorHAnsi" w:cstheme="minorHAnsi"/>
          <w:sz w:val="22"/>
          <w:szCs w:val="22"/>
        </w:rPr>
        <w:t>AS/NZS</w:t>
      </w:r>
      <w:r w:rsidR="00347BF1">
        <w:rPr>
          <w:rFonts w:asciiTheme="minorHAnsi" w:hAnsiTheme="minorHAnsi" w:cstheme="minorHAnsi"/>
          <w:sz w:val="22"/>
          <w:szCs w:val="22"/>
        </w:rPr>
        <w:t xml:space="preserve"> </w:t>
      </w:r>
      <w:r>
        <w:rPr>
          <w:rFonts w:asciiTheme="minorHAnsi" w:hAnsiTheme="minorHAnsi" w:cstheme="minorHAnsi"/>
          <w:sz w:val="22"/>
          <w:szCs w:val="22"/>
        </w:rPr>
        <w:t>1754</w:t>
      </w:r>
      <w:r w:rsidR="00223E72" w:rsidRPr="00D35000">
        <w:rPr>
          <w:rFonts w:asciiTheme="minorHAnsi" w:hAnsiTheme="minorHAnsi" w:cstheme="minorHAnsi"/>
          <w:sz w:val="22"/>
          <w:szCs w:val="22"/>
        </w:rPr>
        <w:t xml:space="preserve"> was revised </w:t>
      </w:r>
      <w:r w:rsidR="00157767">
        <w:rPr>
          <w:rFonts w:asciiTheme="minorHAnsi" w:hAnsiTheme="minorHAnsi" w:cstheme="minorHAnsi"/>
          <w:sz w:val="22"/>
          <w:szCs w:val="22"/>
        </w:rPr>
        <w:t>during 201</w:t>
      </w:r>
      <w:r w:rsidR="00C863FD">
        <w:rPr>
          <w:rFonts w:asciiTheme="minorHAnsi" w:hAnsiTheme="minorHAnsi" w:cstheme="minorHAnsi"/>
          <w:sz w:val="22"/>
          <w:szCs w:val="22"/>
        </w:rPr>
        <w:t>1</w:t>
      </w:r>
      <w:r w:rsidR="00157767">
        <w:rPr>
          <w:rFonts w:asciiTheme="minorHAnsi" w:hAnsiTheme="minorHAnsi" w:cstheme="minorHAnsi"/>
          <w:sz w:val="22"/>
          <w:szCs w:val="22"/>
        </w:rPr>
        <w:t xml:space="preserve"> – 201</w:t>
      </w:r>
      <w:r w:rsidR="00533BA6">
        <w:rPr>
          <w:rFonts w:asciiTheme="minorHAnsi" w:hAnsiTheme="minorHAnsi" w:cstheme="minorHAnsi"/>
          <w:sz w:val="22"/>
          <w:szCs w:val="22"/>
        </w:rPr>
        <w:t>3</w:t>
      </w:r>
      <w:r w:rsidR="00157767">
        <w:rPr>
          <w:rFonts w:asciiTheme="minorHAnsi" w:hAnsiTheme="minorHAnsi" w:cstheme="minorHAnsi"/>
          <w:sz w:val="22"/>
          <w:szCs w:val="22"/>
        </w:rPr>
        <w:t xml:space="preserve"> </w:t>
      </w:r>
      <w:r w:rsidR="00223E72" w:rsidRPr="00D35000">
        <w:rPr>
          <w:rFonts w:asciiTheme="minorHAnsi" w:hAnsiTheme="minorHAnsi" w:cstheme="minorHAnsi"/>
          <w:sz w:val="22"/>
          <w:szCs w:val="22"/>
        </w:rPr>
        <w:t xml:space="preserve">and published </w:t>
      </w:r>
      <w:r w:rsidR="0044538C" w:rsidRPr="00D35000">
        <w:rPr>
          <w:rFonts w:asciiTheme="minorHAnsi" w:hAnsiTheme="minorHAnsi" w:cstheme="minorHAnsi"/>
          <w:sz w:val="22"/>
          <w:szCs w:val="22"/>
        </w:rPr>
        <w:t xml:space="preserve">in June 2013 </w:t>
      </w:r>
      <w:r w:rsidR="00223E72" w:rsidRPr="00D35000">
        <w:rPr>
          <w:rFonts w:asciiTheme="minorHAnsi" w:hAnsiTheme="minorHAnsi" w:cstheme="minorHAnsi"/>
          <w:sz w:val="22"/>
          <w:szCs w:val="22"/>
        </w:rPr>
        <w:t xml:space="preserve">as </w:t>
      </w:r>
      <w:r w:rsidR="003B298D" w:rsidRPr="00D35000">
        <w:rPr>
          <w:rFonts w:asciiTheme="minorHAnsi" w:hAnsiTheme="minorHAnsi" w:cstheme="minorHAnsi"/>
          <w:sz w:val="22"/>
          <w:szCs w:val="22"/>
        </w:rPr>
        <w:t>AS/NZS 1754:2013</w:t>
      </w:r>
      <w:r w:rsidR="00157767">
        <w:rPr>
          <w:rFonts w:asciiTheme="minorHAnsi" w:hAnsiTheme="minorHAnsi" w:cstheme="minorHAnsi"/>
          <w:sz w:val="22"/>
          <w:szCs w:val="22"/>
        </w:rPr>
        <w:t xml:space="preserve">.  </w:t>
      </w:r>
      <w:r w:rsidR="00347BF1">
        <w:rPr>
          <w:rFonts w:asciiTheme="minorHAnsi" w:hAnsiTheme="minorHAnsi" w:cstheme="minorHAnsi"/>
          <w:sz w:val="22"/>
          <w:szCs w:val="22"/>
        </w:rPr>
        <w:t>It</w:t>
      </w:r>
      <w:r w:rsidR="003B298D" w:rsidRPr="00D35000">
        <w:rPr>
          <w:rFonts w:asciiTheme="minorHAnsi" w:hAnsiTheme="minorHAnsi" w:cstheme="minorHAnsi"/>
          <w:sz w:val="22"/>
          <w:szCs w:val="22"/>
        </w:rPr>
        <w:t xml:space="preserve"> introduced</w:t>
      </w:r>
      <w:r w:rsidR="00223E72" w:rsidRPr="00D35000">
        <w:rPr>
          <w:rFonts w:asciiTheme="minorHAnsi" w:hAnsiTheme="minorHAnsi" w:cstheme="minorHAnsi"/>
          <w:sz w:val="22"/>
          <w:szCs w:val="22"/>
        </w:rPr>
        <w:t xml:space="preserve"> a number of new </w:t>
      </w:r>
      <w:r w:rsidR="003B298D" w:rsidRPr="00D35000">
        <w:rPr>
          <w:rFonts w:asciiTheme="minorHAnsi" w:hAnsiTheme="minorHAnsi" w:cstheme="minorHAnsi"/>
          <w:sz w:val="22"/>
          <w:szCs w:val="22"/>
        </w:rPr>
        <w:t xml:space="preserve">elements </w:t>
      </w:r>
      <w:r w:rsidR="0044538C" w:rsidRPr="00D35000">
        <w:rPr>
          <w:rFonts w:asciiTheme="minorHAnsi" w:hAnsiTheme="minorHAnsi" w:cstheme="minorHAnsi"/>
          <w:sz w:val="22"/>
          <w:szCs w:val="22"/>
        </w:rPr>
        <w:t>including</w:t>
      </w:r>
      <w:r w:rsidR="00F3780F">
        <w:rPr>
          <w:rFonts w:asciiTheme="minorHAnsi" w:hAnsiTheme="minorHAnsi" w:cstheme="minorHAnsi"/>
          <w:sz w:val="22"/>
          <w:szCs w:val="22"/>
        </w:rPr>
        <w:t>:</w:t>
      </w:r>
      <w:r w:rsidR="0044538C" w:rsidRPr="00D35000">
        <w:rPr>
          <w:rFonts w:asciiTheme="minorHAnsi" w:hAnsiTheme="minorHAnsi" w:cstheme="minorHAnsi"/>
          <w:sz w:val="22"/>
          <w:szCs w:val="22"/>
        </w:rPr>
        <w:t xml:space="preserve"> features </w:t>
      </w:r>
      <w:r w:rsidR="00157767">
        <w:rPr>
          <w:rFonts w:asciiTheme="minorHAnsi" w:hAnsiTheme="minorHAnsi" w:cstheme="minorHAnsi"/>
          <w:sz w:val="22"/>
          <w:szCs w:val="22"/>
        </w:rPr>
        <w:t>that</w:t>
      </w:r>
      <w:r w:rsidR="00157767" w:rsidRPr="00D35000">
        <w:rPr>
          <w:rFonts w:asciiTheme="minorHAnsi" w:hAnsiTheme="minorHAnsi" w:cstheme="minorHAnsi"/>
          <w:sz w:val="22"/>
          <w:szCs w:val="22"/>
        </w:rPr>
        <w:t xml:space="preserve"> </w:t>
      </w:r>
      <w:r w:rsidR="0044538C" w:rsidRPr="00D35000">
        <w:rPr>
          <w:rFonts w:asciiTheme="minorHAnsi" w:hAnsiTheme="minorHAnsi" w:cstheme="minorHAnsi"/>
          <w:sz w:val="22"/>
          <w:szCs w:val="22"/>
        </w:rPr>
        <w:t>a</w:t>
      </w:r>
      <w:r w:rsidR="003B298D" w:rsidRPr="00D35000">
        <w:rPr>
          <w:rFonts w:asciiTheme="minorHAnsi" w:hAnsiTheme="minorHAnsi" w:cstheme="minorHAnsi"/>
          <w:sz w:val="22"/>
          <w:szCs w:val="22"/>
        </w:rPr>
        <w:t xml:space="preserve">n ISOFIX </w:t>
      </w:r>
      <w:r w:rsidR="00157767">
        <w:rPr>
          <w:rStyle w:val="FootnoteReference"/>
          <w:rFonts w:asciiTheme="minorHAnsi" w:hAnsiTheme="minorHAnsi" w:cstheme="minorHAnsi"/>
          <w:sz w:val="22"/>
          <w:szCs w:val="22"/>
        </w:rPr>
        <w:footnoteReference w:id="6"/>
      </w:r>
      <w:r w:rsidR="003B298D" w:rsidRPr="00D35000">
        <w:rPr>
          <w:rFonts w:asciiTheme="minorHAnsi" w:hAnsiTheme="minorHAnsi" w:cstheme="minorHAnsi"/>
          <w:sz w:val="22"/>
          <w:szCs w:val="22"/>
        </w:rPr>
        <w:t xml:space="preserve">compatible child restraint </w:t>
      </w:r>
      <w:r w:rsidR="00157767">
        <w:rPr>
          <w:rFonts w:asciiTheme="minorHAnsi" w:hAnsiTheme="minorHAnsi" w:cstheme="minorHAnsi"/>
          <w:sz w:val="22"/>
          <w:szCs w:val="22"/>
        </w:rPr>
        <w:t>must meet</w:t>
      </w:r>
      <w:r w:rsidR="0044538C" w:rsidRPr="00D35000">
        <w:rPr>
          <w:rFonts w:asciiTheme="minorHAnsi" w:hAnsiTheme="minorHAnsi" w:cstheme="minorHAnsi"/>
          <w:sz w:val="22"/>
          <w:szCs w:val="22"/>
        </w:rPr>
        <w:t xml:space="preserve">, a </w:t>
      </w:r>
      <w:r w:rsidR="00223E72" w:rsidRPr="00D35000">
        <w:rPr>
          <w:rFonts w:asciiTheme="minorHAnsi" w:hAnsiTheme="minorHAnsi" w:cstheme="minorHAnsi"/>
          <w:sz w:val="22"/>
          <w:szCs w:val="22"/>
        </w:rPr>
        <w:t>new Type A4 child restraint allowing children to stay rear facing for longer</w:t>
      </w:r>
      <w:r w:rsidR="0044538C" w:rsidRPr="00D35000">
        <w:rPr>
          <w:rFonts w:asciiTheme="minorHAnsi" w:hAnsiTheme="minorHAnsi" w:cstheme="minorHAnsi"/>
          <w:sz w:val="22"/>
          <w:szCs w:val="22"/>
        </w:rPr>
        <w:t>, c</w:t>
      </w:r>
      <w:r w:rsidR="00223E72" w:rsidRPr="00D35000">
        <w:rPr>
          <w:rFonts w:asciiTheme="minorHAnsi" w:hAnsiTheme="minorHAnsi" w:cstheme="minorHAnsi"/>
          <w:sz w:val="22"/>
          <w:szCs w:val="22"/>
        </w:rPr>
        <w:t>hanges to the inbuilt harnesses to cater for children up to about 8</w:t>
      </w:r>
      <w:r w:rsidR="0044538C" w:rsidRPr="00D35000">
        <w:rPr>
          <w:rFonts w:asciiTheme="minorHAnsi" w:hAnsiTheme="minorHAnsi" w:cstheme="minorHAnsi"/>
          <w:sz w:val="22"/>
          <w:szCs w:val="22"/>
        </w:rPr>
        <w:t xml:space="preserve"> years old and p</w:t>
      </w:r>
      <w:r w:rsidR="00223E72" w:rsidRPr="00D35000">
        <w:rPr>
          <w:rFonts w:asciiTheme="minorHAnsi" w:hAnsiTheme="minorHAnsi" w:cstheme="minorHAnsi"/>
          <w:sz w:val="22"/>
          <w:szCs w:val="22"/>
        </w:rPr>
        <w:t xml:space="preserve">rovision of </w:t>
      </w:r>
      <w:r w:rsidR="00D707FF">
        <w:rPr>
          <w:rFonts w:asciiTheme="minorHAnsi" w:hAnsiTheme="minorHAnsi" w:cstheme="minorHAnsi"/>
          <w:sz w:val="22"/>
          <w:szCs w:val="22"/>
        </w:rPr>
        <w:t xml:space="preserve">an </w:t>
      </w:r>
      <w:r w:rsidR="00223E72" w:rsidRPr="00D35000">
        <w:rPr>
          <w:rFonts w:asciiTheme="minorHAnsi" w:hAnsiTheme="minorHAnsi" w:cstheme="minorHAnsi"/>
          <w:sz w:val="22"/>
          <w:szCs w:val="22"/>
        </w:rPr>
        <w:t xml:space="preserve">instruction booklet with the child restraint. </w:t>
      </w:r>
    </w:p>
    <w:p w:rsidR="0044538C" w:rsidRPr="00033B1F" w:rsidRDefault="00D707FF" w:rsidP="00D35000">
      <w:pPr>
        <w:spacing w:before="120" w:after="240" w:line="220" w:lineRule="atLeast"/>
        <w:jc w:val="both"/>
        <w:rPr>
          <w:rFonts w:asciiTheme="minorHAnsi" w:hAnsiTheme="minorHAnsi" w:cstheme="minorHAnsi"/>
          <w:sz w:val="22"/>
          <w:szCs w:val="22"/>
        </w:rPr>
      </w:pPr>
      <w:r>
        <w:rPr>
          <w:rFonts w:asciiTheme="minorHAnsi" w:hAnsiTheme="minorHAnsi" w:cstheme="minorHAnsi"/>
          <w:sz w:val="22"/>
          <w:szCs w:val="22"/>
        </w:rPr>
        <w:t>T</w:t>
      </w:r>
      <w:r w:rsidRPr="00D35000">
        <w:rPr>
          <w:rFonts w:asciiTheme="minorHAnsi" w:hAnsiTheme="minorHAnsi" w:cstheme="minorHAnsi"/>
          <w:sz w:val="22"/>
          <w:szCs w:val="22"/>
        </w:rPr>
        <w:t xml:space="preserve">wo </w:t>
      </w:r>
      <w:r w:rsidR="0044538C" w:rsidRPr="00D35000">
        <w:rPr>
          <w:rFonts w:asciiTheme="minorHAnsi" w:hAnsiTheme="minorHAnsi" w:cstheme="minorHAnsi"/>
          <w:sz w:val="22"/>
          <w:szCs w:val="22"/>
        </w:rPr>
        <w:t xml:space="preserve">new </w:t>
      </w:r>
      <w:r>
        <w:rPr>
          <w:rFonts w:asciiTheme="minorHAnsi" w:hAnsiTheme="minorHAnsi" w:cstheme="minorHAnsi"/>
          <w:sz w:val="22"/>
          <w:szCs w:val="22"/>
        </w:rPr>
        <w:t xml:space="preserve">testing </w:t>
      </w:r>
      <w:r w:rsidR="0044538C" w:rsidRPr="00D35000">
        <w:rPr>
          <w:rFonts w:asciiTheme="minorHAnsi" w:hAnsiTheme="minorHAnsi" w:cstheme="minorHAnsi"/>
          <w:sz w:val="22"/>
          <w:szCs w:val="22"/>
        </w:rPr>
        <w:t>requirements</w:t>
      </w:r>
      <w:r>
        <w:rPr>
          <w:rFonts w:asciiTheme="minorHAnsi" w:hAnsiTheme="minorHAnsi" w:cstheme="minorHAnsi"/>
          <w:sz w:val="22"/>
          <w:szCs w:val="22"/>
        </w:rPr>
        <w:t>, one</w:t>
      </w:r>
      <w:r w:rsidR="0044538C" w:rsidRPr="00D35000">
        <w:rPr>
          <w:rFonts w:asciiTheme="minorHAnsi" w:hAnsiTheme="minorHAnsi" w:cstheme="minorHAnsi"/>
          <w:sz w:val="22"/>
          <w:szCs w:val="22"/>
        </w:rPr>
        <w:t xml:space="preserve"> relating to the test </w:t>
      </w:r>
      <w:r w:rsidR="001A5872" w:rsidRPr="00D35000">
        <w:rPr>
          <w:rFonts w:asciiTheme="minorHAnsi" w:hAnsiTheme="minorHAnsi" w:cstheme="minorHAnsi"/>
          <w:sz w:val="22"/>
          <w:szCs w:val="22"/>
        </w:rPr>
        <w:t xml:space="preserve">sled used and </w:t>
      </w:r>
      <w:r>
        <w:rPr>
          <w:rFonts w:asciiTheme="minorHAnsi" w:hAnsiTheme="minorHAnsi" w:cstheme="minorHAnsi"/>
          <w:sz w:val="22"/>
          <w:szCs w:val="22"/>
        </w:rPr>
        <w:t xml:space="preserve">another requiring </w:t>
      </w:r>
      <w:r w:rsidR="001A5872" w:rsidRPr="00D35000">
        <w:rPr>
          <w:rFonts w:asciiTheme="minorHAnsi" w:hAnsiTheme="minorHAnsi" w:cstheme="minorHAnsi"/>
          <w:sz w:val="22"/>
          <w:szCs w:val="22"/>
        </w:rPr>
        <w:t>regular testing of products</w:t>
      </w:r>
      <w:r>
        <w:rPr>
          <w:rFonts w:asciiTheme="minorHAnsi" w:hAnsiTheme="minorHAnsi" w:cstheme="minorHAnsi"/>
          <w:sz w:val="22"/>
          <w:szCs w:val="22"/>
        </w:rPr>
        <w:t xml:space="preserve"> (or batch testing)</w:t>
      </w:r>
      <w:r w:rsidRPr="00D707FF">
        <w:rPr>
          <w:rFonts w:asciiTheme="minorHAnsi" w:hAnsiTheme="minorHAnsi" w:cstheme="minorHAnsi"/>
          <w:sz w:val="22"/>
          <w:szCs w:val="22"/>
        </w:rPr>
        <w:t xml:space="preserve"> </w:t>
      </w:r>
      <w:r w:rsidRPr="00D707FF">
        <w:rPr>
          <w:rFonts w:ascii="Calibri" w:hAnsi="Calibri" w:cs="Calibri"/>
          <w:sz w:val="22"/>
          <w:szCs w:val="22"/>
        </w:rPr>
        <w:t>have been introduced</w:t>
      </w:r>
      <w:r w:rsidR="0044538C" w:rsidRPr="00D35000">
        <w:rPr>
          <w:rFonts w:asciiTheme="minorHAnsi" w:hAnsiTheme="minorHAnsi" w:cstheme="minorHAnsi"/>
          <w:sz w:val="22"/>
          <w:szCs w:val="22"/>
        </w:rPr>
        <w:t xml:space="preserve"> to demonstrate </w:t>
      </w:r>
      <w:r w:rsidR="001A5872" w:rsidRPr="00D35000">
        <w:rPr>
          <w:rFonts w:asciiTheme="minorHAnsi" w:hAnsiTheme="minorHAnsi" w:cstheme="minorHAnsi"/>
          <w:sz w:val="22"/>
          <w:szCs w:val="22"/>
        </w:rPr>
        <w:t>on-going</w:t>
      </w:r>
      <w:r w:rsidR="0044538C" w:rsidRPr="00D35000">
        <w:rPr>
          <w:rFonts w:asciiTheme="minorHAnsi" w:hAnsiTheme="minorHAnsi" w:cstheme="minorHAnsi"/>
          <w:sz w:val="22"/>
          <w:szCs w:val="22"/>
        </w:rPr>
        <w:t xml:space="preserve"> product compliance with the AS/NZS 1754:2013.</w:t>
      </w:r>
    </w:p>
    <w:p w:rsidR="00AC56F7" w:rsidRPr="00347BF1" w:rsidRDefault="00AC56F7" w:rsidP="00D707FF">
      <w:pPr>
        <w:numPr>
          <w:ilvl w:val="0"/>
          <w:numId w:val="27"/>
        </w:numPr>
        <w:spacing w:before="120" w:after="240" w:line="220" w:lineRule="atLeast"/>
        <w:ind w:left="357" w:hanging="357"/>
        <w:jc w:val="both"/>
        <w:rPr>
          <w:rFonts w:asciiTheme="minorHAnsi" w:hAnsiTheme="minorHAnsi" w:cstheme="minorHAnsi"/>
          <w:b/>
          <w:sz w:val="36"/>
        </w:rPr>
      </w:pPr>
      <w:r w:rsidRPr="00347BF1">
        <w:rPr>
          <w:rFonts w:asciiTheme="minorHAnsi" w:hAnsiTheme="minorHAnsi" w:cstheme="minorHAnsi"/>
          <w:b/>
          <w:sz w:val="36"/>
        </w:rPr>
        <w:t>The Australian Consumer Law</w:t>
      </w:r>
    </w:p>
    <w:p w:rsidR="00033B1F" w:rsidRPr="00033B1F" w:rsidRDefault="00AC56F7" w:rsidP="00033B1F">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 xml:space="preserve">The ACL is a single, national law covering consumer protection and fair trading which applies in the same way nationally and in each state and territory of Australia. </w:t>
      </w:r>
    </w:p>
    <w:p w:rsidR="00033B1F" w:rsidRPr="00033B1F" w:rsidRDefault="00033B1F" w:rsidP="00033B1F">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 xml:space="preserve">Australian Government policy requires that each regulatory proposal or consideration contemplate whether the proposed regulatory intervention is </w:t>
      </w:r>
      <w:r w:rsidR="00B061BA">
        <w:rPr>
          <w:rFonts w:asciiTheme="minorHAnsi" w:hAnsiTheme="minorHAnsi" w:cstheme="minorHAnsi"/>
          <w:sz w:val="22"/>
          <w:szCs w:val="22"/>
        </w:rPr>
        <w:t xml:space="preserve">necessary and test which is </w:t>
      </w:r>
      <w:r w:rsidRPr="00033B1F">
        <w:rPr>
          <w:rFonts w:ascii="Calibri" w:hAnsi="Calibri" w:cs="Calibri"/>
          <w:bCs/>
          <w:sz w:val="22"/>
          <w:szCs w:val="22"/>
        </w:rPr>
        <w:t xml:space="preserve">the best option available. It is important to note that </w:t>
      </w:r>
      <w:r w:rsidRPr="00C0007B">
        <w:rPr>
          <w:rFonts w:ascii="Calibri" w:hAnsi="Calibri" w:cs="Calibri"/>
          <w:bCs/>
          <w:sz w:val="22"/>
          <w:szCs w:val="22"/>
        </w:rPr>
        <w:t>when the safety standard was last reviewed, the full impact of the ACL had not become clear.</w:t>
      </w:r>
    </w:p>
    <w:p w:rsidR="00AC56F7" w:rsidRPr="00033B1F" w:rsidRDefault="00AC56F7" w:rsidP="00033B1F">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The ACL includes a number of provisions which are particularly relevant to consider as part of this review as they may be used by Fair Trading agencies and in the absence of a mandatory standard. This is discussed further below.</w:t>
      </w:r>
    </w:p>
    <w:p w:rsidR="00AC56F7" w:rsidRPr="00033B1F" w:rsidRDefault="00AC56F7" w:rsidP="00033B1F">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 xml:space="preserve">Section 18 of the ACL is one of a number of provisions which provides general protection to consumers. It states that a person must not, in trade or commerce, engage in conduct that is misleading or deceptive or is likely to mislead or deceive. </w:t>
      </w:r>
    </w:p>
    <w:p w:rsidR="00AC56F7" w:rsidRPr="00033B1F" w:rsidRDefault="00AC56F7" w:rsidP="00033B1F">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Section 29 of the ACL is a provision which provides a specific protection to consumers against false or misleading representations about goods.</w:t>
      </w:r>
    </w:p>
    <w:p w:rsidR="00AC56F7" w:rsidRPr="00033B1F" w:rsidRDefault="00AC56F7" w:rsidP="00033B1F">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lastRenderedPageBreak/>
        <w:t>Together, these two sections mean that a supplier must not engage in conduct that is false, misleading or deceptive or likely to be so. A</w:t>
      </w:r>
      <w:r w:rsidR="00B061BA">
        <w:rPr>
          <w:rFonts w:asciiTheme="minorHAnsi" w:hAnsiTheme="minorHAnsi" w:cstheme="minorHAnsi"/>
          <w:sz w:val="22"/>
          <w:szCs w:val="22"/>
        </w:rPr>
        <w:t>n incorrect</w:t>
      </w:r>
      <w:r w:rsidRPr="00033B1F">
        <w:rPr>
          <w:rFonts w:asciiTheme="minorHAnsi" w:hAnsiTheme="minorHAnsi" w:cstheme="minorHAnsi"/>
          <w:sz w:val="22"/>
          <w:szCs w:val="22"/>
        </w:rPr>
        <w:t xml:space="preserve"> representation by a supplier that a </w:t>
      </w:r>
      <w:r w:rsidR="00033B1F" w:rsidRPr="00033B1F">
        <w:rPr>
          <w:rFonts w:ascii="Calibri" w:hAnsi="Calibri" w:cs="Calibri"/>
          <w:bCs/>
          <w:sz w:val="22"/>
          <w:szCs w:val="22"/>
        </w:rPr>
        <w:t>child restraint system for use in motor vehicles</w:t>
      </w:r>
      <w:r w:rsidRPr="00033B1F">
        <w:rPr>
          <w:rFonts w:asciiTheme="minorHAnsi" w:hAnsiTheme="minorHAnsi" w:cstheme="minorHAnsi"/>
          <w:sz w:val="22"/>
          <w:szCs w:val="22"/>
        </w:rPr>
        <w:t xml:space="preserve"> meets a particular standard may be proved to be a breach of one or both these provisions.</w:t>
      </w:r>
      <w:r w:rsidR="00033B1F">
        <w:rPr>
          <w:rFonts w:asciiTheme="minorHAnsi" w:hAnsiTheme="minorHAnsi" w:cstheme="minorHAnsi"/>
          <w:sz w:val="22"/>
          <w:szCs w:val="22"/>
        </w:rPr>
        <w:t xml:space="preserve">  Similarly, a</w:t>
      </w:r>
      <w:r w:rsidR="00B061BA">
        <w:rPr>
          <w:rFonts w:asciiTheme="minorHAnsi" w:hAnsiTheme="minorHAnsi" w:cstheme="minorHAnsi"/>
          <w:sz w:val="22"/>
          <w:szCs w:val="22"/>
        </w:rPr>
        <w:t>n incorrect</w:t>
      </w:r>
      <w:r w:rsidR="00033B1F">
        <w:rPr>
          <w:rFonts w:asciiTheme="minorHAnsi" w:hAnsiTheme="minorHAnsi" w:cstheme="minorHAnsi"/>
          <w:sz w:val="22"/>
          <w:szCs w:val="22"/>
        </w:rPr>
        <w:t xml:space="preserve"> representation that a </w:t>
      </w:r>
      <w:r w:rsidR="00033B1F" w:rsidRPr="00033B1F">
        <w:rPr>
          <w:rFonts w:ascii="Calibri" w:hAnsi="Calibri" w:cs="Calibri"/>
          <w:bCs/>
          <w:sz w:val="22"/>
          <w:szCs w:val="22"/>
        </w:rPr>
        <w:t xml:space="preserve">child restraint system </w:t>
      </w:r>
      <w:r w:rsidR="00C0007B">
        <w:rPr>
          <w:rFonts w:ascii="Calibri" w:hAnsi="Calibri" w:cs="Calibri"/>
          <w:bCs/>
          <w:sz w:val="22"/>
          <w:szCs w:val="22"/>
        </w:rPr>
        <w:t>will meet a user’s obligation under road safety regulations to only use a child restraint which meets AS/NZS</w:t>
      </w:r>
      <w:r w:rsidR="00347BF1">
        <w:rPr>
          <w:rFonts w:ascii="Calibri" w:hAnsi="Calibri" w:cs="Calibri"/>
          <w:bCs/>
          <w:sz w:val="22"/>
          <w:szCs w:val="22"/>
        </w:rPr>
        <w:t xml:space="preserve"> </w:t>
      </w:r>
      <w:r w:rsidR="00C0007B">
        <w:rPr>
          <w:rFonts w:ascii="Calibri" w:hAnsi="Calibri" w:cs="Calibri"/>
          <w:bCs/>
          <w:sz w:val="22"/>
          <w:szCs w:val="22"/>
        </w:rPr>
        <w:t xml:space="preserve">1754 may also be </w:t>
      </w:r>
      <w:r w:rsidR="00C0007B" w:rsidRPr="00C0007B">
        <w:rPr>
          <w:rFonts w:ascii="Calibri" w:hAnsi="Calibri" w:cs="Calibri"/>
          <w:sz w:val="22"/>
          <w:szCs w:val="22"/>
        </w:rPr>
        <w:t>proved to be a breach of one or both these provisions</w:t>
      </w:r>
      <w:r w:rsidR="00C0007B">
        <w:rPr>
          <w:rFonts w:ascii="Calibri" w:hAnsi="Calibri" w:cs="Calibri"/>
          <w:sz w:val="22"/>
          <w:szCs w:val="22"/>
        </w:rPr>
        <w:t>.</w:t>
      </w:r>
    </w:p>
    <w:p w:rsidR="00AC56F7" w:rsidRPr="00033B1F" w:rsidRDefault="00AC56F7" w:rsidP="00A93A19">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 xml:space="preserve">Section 54 of the ACL provides for consumer guarantees that goods are of acceptable quality including that they are free from defects and safe. Section 55 provides consumer guarantees that goods are reasonably fit for any disclosed purpose. These provisions are relevant in that </w:t>
      </w:r>
      <w:r w:rsidR="007C237F" w:rsidRPr="00033B1F">
        <w:rPr>
          <w:rFonts w:asciiTheme="minorHAnsi" w:hAnsiTheme="minorHAnsi" w:cstheme="minorHAnsi"/>
          <w:sz w:val="22"/>
          <w:szCs w:val="22"/>
        </w:rPr>
        <w:t xml:space="preserve">child restraints </w:t>
      </w:r>
      <w:r w:rsidRPr="00033B1F">
        <w:rPr>
          <w:rFonts w:asciiTheme="minorHAnsi" w:hAnsiTheme="minorHAnsi" w:cstheme="minorHAnsi"/>
          <w:sz w:val="22"/>
          <w:szCs w:val="22"/>
        </w:rPr>
        <w:t xml:space="preserve">must be free from defects, safe and reasonably fit for any purpose. A </w:t>
      </w:r>
      <w:r w:rsidR="007C237F" w:rsidRPr="00033B1F">
        <w:rPr>
          <w:rFonts w:asciiTheme="minorHAnsi" w:hAnsiTheme="minorHAnsi" w:cstheme="minorHAnsi"/>
          <w:sz w:val="22"/>
          <w:szCs w:val="22"/>
        </w:rPr>
        <w:t xml:space="preserve">parent or carer </w:t>
      </w:r>
      <w:r w:rsidRPr="00033B1F">
        <w:rPr>
          <w:rFonts w:asciiTheme="minorHAnsi" w:hAnsiTheme="minorHAnsi" w:cstheme="minorHAnsi"/>
          <w:sz w:val="22"/>
          <w:szCs w:val="22"/>
        </w:rPr>
        <w:t xml:space="preserve">purchasing a </w:t>
      </w:r>
      <w:r w:rsidR="007C237F" w:rsidRPr="00033B1F">
        <w:rPr>
          <w:rFonts w:asciiTheme="minorHAnsi" w:hAnsiTheme="minorHAnsi" w:cstheme="minorHAnsi"/>
          <w:sz w:val="22"/>
          <w:szCs w:val="22"/>
        </w:rPr>
        <w:t xml:space="preserve">restraint </w:t>
      </w:r>
      <w:r w:rsidRPr="00033B1F">
        <w:rPr>
          <w:rFonts w:asciiTheme="minorHAnsi" w:hAnsiTheme="minorHAnsi" w:cstheme="minorHAnsi"/>
          <w:sz w:val="22"/>
          <w:szCs w:val="22"/>
        </w:rPr>
        <w:t xml:space="preserve">will be doing so for a variety of reasons including, </w:t>
      </w:r>
      <w:r w:rsidR="007C237F" w:rsidRPr="00033B1F">
        <w:rPr>
          <w:rFonts w:asciiTheme="minorHAnsi" w:hAnsiTheme="minorHAnsi" w:cstheme="minorHAnsi"/>
          <w:sz w:val="22"/>
          <w:szCs w:val="22"/>
        </w:rPr>
        <w:t xml:space="preserve">to protect a child being transported and </w:t>
      </w:r>
      <w:r w:rsidRPr="00033B1F">
        <w:rPr>
          <w:rFonts w:asciiTheme="minorHAnsi" w:hAnsiTheme="minorHAnsi" w:cstheme="minorHAnsi"/>
          <w:sz w:val="22"/>
          <w:szCs w:val="22"/>
        </w:rPr>
        <w:t>to comply with state and territory ‘u</w:t>
      </w:r>
      <w:r w:rsidR="007C237F" w:rsidRPr="00033B1F">
        <w:rPr>
          <w:rFonts w:asciiTheme="minorHAnsi" w:hAnsiTheme="minorHAnsi" w:cstheme="minorHAnsi"/>
          <w:sz w:val="22"/>
          <w:szCs w:val="22"/>
        </w:rPr>
        <w:t>se’ laws (see discussion below)</w:t>
      </w:r>
      <w:r w:rsidRPr="00033B1F">
        <w:rPr>
          <w:rFonts w:asciiTheme="minorHAnsi" w:hAnsiTheme="minorHAnsi" w:cstheme="minorHAnsi"/>
          <w:sz w:val="22"/>
          <w:szCs w:val="22"/>
        </w:rPr>
        <w:t>.</w:t>
      </w:r>
    </w:p>
    <w:p w:rsidR="00AC56F7" w:rsidRPr="00033B1F" w:rsidRDefault="00AC56F7">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The ACL provides for consumers to take action against suppliers and in some cases manufacturers for a breach of consumer guarantee provisions. Section 277 provides for the regulator to take action on behalf of consumers</w:t>
      </w:r>
      <w:r w:rsidR="00A32E0D">
        <w:rPr>
          <w:rFonts w:asciiTheme="minorHAnsi" w:hAnsiTheme="minorHAnsi" w:cstheme="minorHAnsi"/>
          <w:sz w:val="22"/>
          <w:szCs w:val="22"/>
        </w:rPr>
        <w:t xml:space="preserve"> (with their written consent)</w:t>
      </w:r>
      <w:r w:rsidRPr="00033B1F">
        <w:rPr>
          <w:rFonts w:asciiTheme="minorHAnsi" w:hAnsiTheme="minorHAnsi" w:cstheme="minorHAnsi"/>
          <w:sz w:val="22"/>
          <w:szCs w:val="22"/>
        </w:rPr>
        <w:t>.</w:t>
      </w:r>
    </w:p>
    <w:p w:rsidR="00AC56F7" w:rsidRPr="00033B1F" w:rsidRDefault="00AC56F7">
      <w:pPr>
        <w:spacing w:before="120" w:after="240" w:line="220" w:lineRule="atLeast"/>
        <w:jc w:val="both"/>
        <w:rPr>
          <w:rFonts w:asciiTheme="minorHAnsi" w:hAnsiTheme="minorHAnsi" w:cstheme="minorHAnsi"/>
          <w:sz w:val="22"/>
          <w:szCs w:val="22"/>
        </w:rPr>
      </w:pPr>
      <w:r w:rsidRPr="00033B1F">
        <w:rPr>
          <w:rFonts w:asciiTheme="minorHAnsi" w:hAnsiTheme="minorHAnsi" w:cstheme="minorHAnsi"/>
          <w:sz w:val="22"/>
          <w:szCs w:val="22"/>
        </w:rPr>
        <w:t>Section 122 of the ACL provides for the compulsory recall of consumer goods which will or may cause injury to any person. In the majority of cases where unsafe goods are identified, the ACCC and the supplier of the goods negotiate a voluntary recall. However, the option to use powers in the ACL to compulsorily recall unsafe goods is also available.</w:t>
      </w:r>
    </w:p>
    <w:p w:rsidR="00AC56F7" w:rsidRPr="00033B1F" w:rsidRDefault="00AC56F7" w:rsidP="002D4665">
      <w:pPr>
        <w:pStyle w:val="Heading1"/>
        <w:numPr>
          <w:ilvl w:val="0"/>
          <w:numId w:val="27"/>
        </w:numPr>
        <w:spacing w:before="120" w:after="240" w:line="220" w:lineRule="atLeast"/>
        <w:ind w:left="357" w:hanging="357"/>
        <w:jc w:val="both"/>
        <w:rPr>
          <w:rFonts w:asciiTheme="minorHAnsi" w:hAnsiTheme="minorHAnsi" w:cstheme="minorHAnsi"/>
          <w:sz w:val="36"/>
        </w:rPr>
      </w:pPr>
      <w:bookmarkStart w:id="9" w:name="_Toc391378923"/>
      <w:r w:rsidRPr="00033B1F">
        <w:rPr>
          <w:rFonts w:asciiTheme="minorHAnsi" w:hAnsiTheme="minorHAnsi" w:cstheme="minorHAnsi"/>
          <w:sz w:val="36"/>
        </w:rPr>
        <w:t>The Australian consumer product safety system</w:t>
      </w:r>
      <w:bookmarkEnd w:id="9"/>
      <w:r w:rsidRPr="00033B1F">
        <w:rPr>
          <w:rFonts w:asciiTheme="minorHAnsi" w:hAnsiTheme="minorHAnsi" w:cstheme="minorHAnsi"/>
          <w:sz w:val="36"/>
        </w:rPr>
        <w:t xml:space="preserve"> </w:t>
      </w:r>
    </w:p>
    <w:p w:rsidR="00AC56F7" w:rsidRPr="006F225E" w:rsidRDefault="00AC56F7" w:rsidP="00033B1F">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Section 105(1) of the ACL allows the Commonwealth Minister to declare an Australian Standard either in whole or part, with additions or variations, to be a safety standard for consumer goods.  Section 104 of the ACL allows the Commonwealth Minister to make a safety standard for consumer goods which sets out requirements for those consumer goods which </w:t>
      </w:r>
      <w:r w:rsidR="00A5341E" w:rsidRPr="006F225E">
        <w:rPr>
          <w:rFonts w:asciiTheme="minorHAnsi" w:hAnsiTheme="minorHAnsi" w:cstheme="minorHAnsi"/>
          <w:sz w:val="22"/>
          <w:szCs w:val="22"/>
        </w:rPr>
        <w:t xml:space="preserve">may be </w:t>
      </w:r>
      <w:r w:rsidRPr="006F225E">
        <w:rPr>
          <w:rFonts w:asciiTheme="minorHAnsi" w:hAnsiTheme="minorHAnsi" w:cstheme="minorHAnsi"/>
          <w:sz w:val="22"/>
          <w:szCs w:val="22"/>
        </w:rPr>
        <w:t xml:space="preserve">reasonably necessary to prevent or reduce the risk of injury to any person. </w:t>
      </w:r>
    </w:p>
    <w:p w:rsidR="00AC56F7" w:rsidRPr="006F225E" w:rsidRDefault="00AC56F7" w:rsidP="00033B1F">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Section 106 of the ACL states that a person must not in trade or commerce, supply, offer for supply or manufacture for supply, consumer goods of a particular kind if those goods do not comply with a safety standard currently in force for those goods.</w:t>
      </w:r>
    </w:p>
    <w:p w:rsidR="00AC56F7" w:rsidRPr="006F225E" w:rsidRDefault="00AC56F7" w:rsidP="00033B1F">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A safety standard for </w:t>
      </w:r>
      <w:r w:rsidR="007C237F" w:rsidRPr="006F225E">
        <w:rPr>
          <w:rFonts w:asciiTheme="minorHAnsi" w:hAnsiTheme="minorHAnsi" w:cstheme="minorHAnsi"/>
          <w:sz w:val="22"/>
          <w:szCs w:val="22"/>
        </w:rPr>
        <w:t>child restraints</w:t>
      </w:r>
      <w:r w:rsidRPr="006F225E">
        <w:rPr>
          <w:rFonts w:asciiTheme="minorHAnsi" w:hAnsiTheme="minorHAnsi" w:cstheme="minorHAnsi"/>
          <w:sz w:val="22"/>
          <w:szCs w:val="22"/>
        </w:rPr>
        <w:t xml:space="preserve"> regulates the </w:t>
      </w:r>
      <w:r w:rsidRPr="006F225E">
        <w:rPr>
          <w:rFonts w:asciiTheme="minorHAnsi" w:hAnsiTheme="minorHAnsi" w:cstheme="minorHAnsi"/>
          <w:i/>
          <w:sz w:val="22"/>
          <w:szCs w:val="22"/>
        </w:rPr>
        <w:t>supply</w:t>
      </w:r>
      <w:r w:rsidRPr="006F225E">
        <w:rPr>
          <w:rFonts w:asciiTheme="minorHAnsi" w:hAnsiTheme="minorHAnsi" w:cstheme="minorHAnsi"/>
          <w:sz w:val="22"/>
          <w:szCs w:val="22"/>
        </w:rPr>
        <w:t xml:space="preserve"> of </w:t>
      </w:r>
      <w:r w:rsidR="007C237F" w:rsidRPr="006F225E">
        <w:rPr>
          <w:rFonts w:asciiTheme="minorHAnsi" w:hAnsiTheme="minorHAnsi" w:cstheme="minorHAnsi"/>
          <w:sz w:val="22"/>
          <w:szCs w:val="22"/>
        </w:rPr>
        <w:t>restraints</w:t>
      </w:r>
      <w:r w:rsidRPr="006F225E">
        <w:rPr>
          <w:rFonts w:asciiTheme="minorHAnsi" w:hAnsiTheme="minorHAnsi" w:cstheme="minorHAnsi"/>
          <w:sz w:val="22"/>
          <w:szCs w:val="22"/>
        </w:rPr>
        <w:t xml:space="preserve">. The term ‘supply’ in relation to consumer goods (such as </w:t>
      </w:r>
      <w:r w:rsidR="007C237F" w:rsidRPr="006F225E">
        <w:rPr>
          <w:rFonts w:asciiTheme="minorHAnsi" w:hAnsiTheme="minorHAnsi" w:cstheme="minorHAnsi"/>
          <w:sz w:val="22"/>
          <w:szCs w:val="22"/>
        </w:rPr>
        <w:t>child restraints</w:t>
      </w:r>
      <w:r w:rsidRPr="006F225E">
        <w:rPr>
          <w:rFonts w:asciiTheme="minorHAnsi" w:hAnsiTheme="minorHAnsi" w:cstheme="minorHAnsi"/>
          <w:sz w:val="22"/>
          <w:szCs w:val="22"/>
        </w:rPr>
        <w:t xml:space="preserve">) means to supply by way of sale, exchange, lease, hire or hire-purchase. </w:t>
      </w:r>
    </w:p>
    <w:p w:rsidR="00A5341E" w:rsidRPr="006F225E" w:rsidRDefault="00A5341E" w:rsidP="00033B1F">
      <w:pPr>
        <w:spacing w:before="120" w:after="240" w:line="220" w:lineRule="atLeast"/>
        <w:jc w:val="both"/>
        <w:rPr>
          <w:rFonts w:asciiTheme="minorHAnsi" w:hAnsiTheme="minorHAnsi" w:cstheme="minorHAnsi"/>
          <w:sz w:val="22"/>
          <w:szCs w:val="22"/>
        </w:rPr>
      </w:pPr>
      <w:r w:rsidRPr="006F225E">
        <w:rPr>
          <w:rFonts w:ascii="Calibri" w:hAnsi="Calibri" w:cs="Calibri"/>
          <w:sz w:val="22"/>
          <w:szCs w:val="22"/>
        </w:rPr>
        <w:t>Safety standards made under the ACL are co-operatively enforced by the ACCC and state and territory fair trading agencies.</w:t>
      </w:r>
    </w:p>
    <w:p w:rsidR="00AC56F7" w:rsidRPr="00033B1F" w:rsidRDefault="009D5F77" w:rsidP="00A5341E">
      <w:pPr>
        <w:pStyle w:val="Heading1"/>
        <w:numPr>
          <w:ilvl w:val="0"/>
          <w:numId w:val="27"/>
        </w:numPr>
        <w:spacing w:before="120" w:after="240" w:line="220" w:lineRule="atLeast"/>
        <w:ind w:left="357" w:hanging="357"/>
        <w:jc w:val="both"/>
        <w:rPr>
          <w:rFonts w:asciiTheme="minorHAnsi" w:hAnsiTheme="minorHAnsi" w:cstheme="minorHAnsi"/>
          <w:sz w:val="36"/>
        </w:rPr>
      </w:pPr>
      <w:bookmarkStart w:id="10" w:name="_Toc359590629"/>
      <w:bookmarkStart w:id="11" w:name="_Toc359591047"/>
      <w:bookmarkStart w:id="12" w:name="_Toc391378924"/>
      <w:bookmarkEnd w:id="10"/>
      <w:bookmarkEnd w:id="11"/>
      <w:r w:rsidRPr="00033B1F">
        <w:rPr>
          <w:rFonts w:asciiTheme="minorHAnsi" w:hAnsiTheme="minorHAnsi" w:cstheme="minorHAnsi"/>
          <w:sz w:val="36"/>
        </w:rPr>
        <w:t>Child restraint</w:t>
      </w:r>
      <w:r w:rsidR="00AC56F7" w:rsidRPr="00033B1F">
        <w:rPr>
          <w:rFonts w:asciiTheme="minorHAnsi" w:hAnsiTheme="minorHAnsi" w:cstheme="minorHAnsi"/>
          <w:sz w:val="36"/>
        </w:rPr>
        <w:t xml:space="preserve"> ‘supply’ and ‘use’ laws</w:t>
      </w:r>
      <w:bookmarkEnd w:id="12"/>
    </w:p>
    <w:p w:rsidR="00AC56F7" w:rsidRPr="006F225E" w:rsidRDefault="00AC56F7" w:rsidP="00C0007B">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While the </w:t>
      </w:r>
      <w:r w:rsidR="00A5341E" w:rsidRPr="006F225E">
        <w:rPr>
          <w:rFonts w:asciiTheme="minorHAnsi" w:hAnsiTheme="minorHAnsi" w:cstheme="minorHAnsi"/>
          <w:sz w:val="22"/>
          <w:szCs w:val="22"/>
        </w:rPr>
        <w:t xml:space="preserve">CCA provides for the </w:t>
      </w:r>
      <w:r w:rsidRPr="006F225E">
        <w:rPr>
          <w:rFonts w:asciiTheme="minorHAnsi" w:hAnsiTheme="minorHAnsi" w:cstheme="minorHAnsi"/>
          <w:sz w:val="22"/>
          <w:szCs w:val="22"/>
        </w:rPr>
        <w:t>develop</w:t>
      </w:r>
      <w:r w:rsidR="00A5341E" w:rsidRPr="006F225E">
        <w:rPr>
          <w:rFonts w:asciiTheme="minorHAnsi" w:hAnsiTheme="minorHAnsi" w:cstheme="minorHAnsi"/>
          <w:sz w:val="22"/>
          <w:szCs w:val="22"/>
        </w:rPr>
        <w:t>ment</w:t>
      </w:r>
      <w:r w:rsidRPr="006F225E">
        <w:rPr>
          <w:rFonts w:asciiTheme="minorHAnsi" w:hAnsiTheme="minorHAnsi" w:cstheme="minorHAnsi"/>
          <w:sz w:val="22"/>
          <w:szCs w:val="22"/>
        </w:rPr>
        <w:t xml:space="preserve"> and enforce</w:t>
      </w:r>
      <w:r w:rsidR="00A5341E" w:rsidRPr="006F225E">
        <w:rPr>
          <w:rFonts w:asciiTheme="minorHAnsi" w:hAnsiTheme="minorHAnsi" w:cstheme="minorHAnsi"/>
          <w:sz w:val="22"/>
          <w:szCs w:val="22"/>
        </w:rPr>
        <w:t>ment of</w:t>
      </w:r>
      <w:r w:rsidRPr="006F225E">
        <w:rPr>
          <w:rFonts w:asciiTheme="minorHAnsi" w:hAnsiTheme="minorHAnsi" w:cstheme="minorHAnsi"/>
          <w:sz w:val="22"/>
          <w:szCs w:val="22"/>
        </w:rPr>
        <w:t xml:space="preserve"> </w:t>
      </w:r>
      <w:r w:rsidR="00A5341E" w:rsidRPr="006F225E">
        <w:rPr>
          <w:rFonts w:asciiTheme="minorHAnsi" w:hAnsiTheme="minorHAnsi" w:cstheme="minorHAnsi"/>
          <w:sz w:val="22"/>
          <w:szCs w:val="22"/>
        </w:rPr>
        <w:t xml:space="preserve">safety standards which </w:t>
      </w:r>
      <w:r w:rsidR="00925DCA">
        <w:rPr>
          <w:rFonts w:asciiTheme="minorHAnsi" w:hAnsiTheme="minorHAnsi" w:cstheme="minorHAnsi"/>
          <w:sz w:val="22"/>
          <w:szCs w:val="22"/>
        </w:rPr>
        <w:t>a</w:t>
      </w:r>
      <w:r w:rsidR="00A5341E" w:rsidRPr="006F225E">
        <w:rPr>
          <w:rFonts w:asciiTheme="minorHAnsi" w:hAnsiTheme="minorHAnsi" w:cstheme="minorHAnsi"/>
          <w:sz w:val="22"/>
          <w:szCs w:val="22"/>
        </w:rPr>
        <w:t xml:space="preserve">ffect the </w:t>
      </w:r>
      <w:r w:rsidRPr="006F225E">
        <w:rPr>
          <w:rFonts w:asciiTheme="minorHAnsi" w:hAnsiTheme="minorHAnsi" w:cstheme="minorHAnsi"/>
          <w:i/>
          <w:sz w:val="22"/>
          <w:szCs w:val="22"/>
        </w:rPr>
        <w:t>supply</w:t>
      </w:r>
      <w:r w:rsidRPr="006F225E">
        <w:rPr>
          <w:rFonts w:asciiTheme="minorHAnsi" w:hAnsiTheme="minorHAnsi" w:cstheme="minorHAnsi"/>
          <w:sz w:val="22"/>
          <w:szCs w:val="22"/>
        </w:rPr>
        <w:t xml:space="preserve"> of </w:t>
      </w:r>
      <w:r w:rsidR="007C237F" w:rsidRPr="006F225E">
        <w:rPr>
          <w:rFonts w:asciiTheme="minorHAnsi" w:hAnsiTheme="minorHAnsi" w:cstheme="minorHAnsi"/>
          <w:sz w:val="22"/>
          <w:szCs w:val="22"/>
        </w:rPr>
        <w:t xml:space="preserve">child restraints </w:t>
      </w:r>
      <w:r w:rsidRPr="006F225E">
        <w:rPr>
          <w:rFonts w:asciiTheme="minorHAnsi" w:hAnsiTheme="minorHAnsi" w:cstheme="minorHAnsi"/>
          <w:sz w:val="22"/>
          <w:szCs w:val="22"/>
        </w:rPr>
        <w:t xml:space="preserve">it </w:t>
      </w:r>
      <w:r w:rsidR="007C237F" w:rsidRPr="006F225E">
        <w:rPr>
          <w:rFonts w:asciiTheme="minorHAnsi" w:hAnsiTheme="minorHAnsi" w:cstheme="minorHAnsi"/>
          <w:sz w:val="22"/>
          <w:szCs w:val="22"/>
        </w:rPr>
        <w:t xml:space="preserve">does not </w:t>
      </w:r>
      <w:r w:rsidR="00A5341E" w:rsidRPr="006F225E">
        <w:rPr>
          <w:rFonts w:asciiTheme="minorHAnsi" w:hAnsiTheme="minorHAnsi" w:cstheme="minorHAnsi"/>
          <w:sz w:val="22"/>
          <w:szCs w:val="22"/>
        </w:rPr>
        <w:t xml:space="preserve">allow for </w:t>
      </w:r>
      <w:r w:rsidRPr="006F225E">
        <w:rPr>
          <w:rFonts w:asciiTheme="minorHAnsi" w:hAnsiTheme="minorHAnsi" w:cstheme="minorHAnsi"/>
          <w:sz w:val="22"/>
          <w:szCs w:val="22"/>
        </w:rPr>
        <w:t xml:space="preserve">laws which govern which </w:t>
      </w:r>
      <w:r w:rsidR="007C237F" w:rsidRPr="006F225E">
        <w:rPr>
          <w:rFonts w:asciiTheme="minorHAnsi" w:hAnsiTheme="minorHAnsi" w:cstheme="minorHAnsi"/>
          <w:sz w:val="22"/>
          <w:szCs w:val="22"/>
        </w:rPr>
        <w:t xml:space="preserve">restraints can </w:t>
      </w:r>
      <w:r w:rsidRPr="006F225E">
        <w:rPr>
          <w:rFonts w:asciiTheme="minorHAnsi" w:hAnsiTheme="minorHAnsi" w:cstheme="minorHAnsi"/>
          <w:sz w:val="22"/>
          <w:szCs w:val="22"/>
        </w:rPr>
        <w:t xml:space="preserve">be legally </w:t>
      </w:r>
      <w:r w:rsidR="007C237F" w:rsidRPr="00347BF1">
        <w:rPr>
          <w:rFonts w:asciiTheme="minorHAnsi" w:hAnsiTheme="minorHAnsi" w:cstheme="minorHAnsi"/>
          <w:i/>
          <w:sz w:val="22"/>
          <w:szCs w:val="22"/>
        </w:rPr>
        <w:t xml:space="preserve">used </w:t>
      </w:r>
      <w:r w:rsidR="007C237F" w:rsidRPr="006F225E">
        <w:rPr>
          <w:rFonts w:asciiTheme="minorHAnsi" w:hAnsiTheme="minorHAnsi" w:cstheme="minorHAnsi"/>
          <w:sz w:val="22"/>
          <w:szCs w:val="22"/>
        </w:rPr>
        <w:t>in each jurisdiction</w:t>
      </w:r>
      <w:r w:rsidRPr="006F225E">
        <w:rPr>
          <w:rFonts w:asciiTheme="minorHAnsi" w:hAnsiTheme="minorHAnsi" w:cstheme="minorHAnsi"/>
          <w:sz w:val="22"/>
          <w:szCs w:val="22"/>
        </w:rPr>
        <w:t xml:space="preserve">. That responsibility falls to state and territory road safety agencies. </w:t>
      </w:r>
    </w:p>
    <w:p w:rsidR="00AC56F7" w:rsidRPr="006F225E" w:rsidRDefault="00AC56F7" w:rsidP="00C0007B">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lastRenderedPageBreak/>
        <w:t xml:space="preserve">State and territory road and traffic agency Ministers make legislation in relation to </w:t>
      </w:r>
      <w:r w:rsidR="007C237F" w:rsidRPr="006F225E">
        <w:rPr>
          <w:rFonts w:asciiTheme="minorHAnsi" w:hAnsiTheme="minorHAnsi" w:cstheme="minorHAnsi"/>
          <w:sz w:val="22"/>
          <w:szCs w:val="22"/>
        </w:rPr>
        <w:t xml:space="preserve">child restraint </w:t>
      </w:r>
      <w:r w:rsidRPr="006F225E">
        <w:rPr>
          <w:rFonts w:asciiTheme="minorHAnsi" w:hAnsiTheme="minorHAnsi" w:cstheme="minorHAnsi"/>
          <w:i/>
          <w:sz w:val="22"/>
          <w:szCs w:val="22"/>
        </w:rPr>
        <w:t>use</w:t>
      </w:r>
      <w:r w:rsidRPr="006F225E">
        <w:rPr>
          <w:rFonts w:asciiTheme="minorHAnsi" w:hAnsiTheme="minorHAnsi" w:cstheme="minorHAnsi"/>
          <w:sz w:val="22"/>
          <w:szCs w:val="22"/>
        </w:rPr>
        <w:t xml:space="preserve">.  Each state and territory requires that </w:t>
      </w:r>
      <w:r w:rsidR="00347BF1">
        <w:rPr>
          <w:rFonts w:asciiTheme="minorHAnsi" w:hAnsiTheme="minorHAnsi" w:cstheme="minorHAnsi"/>
          <w:sz w:val="22"/>
          <w:szCs w:val="22"/>
        </w:rPr>
        <w:t xml:space="preserve">a </w:t>
      </w:r>
      <w:r w:rsidR="007C237F" w:rsidRPr="006F225E">
        <w:rPr>
          <w:rFonts w:asciiTheme="minorHAnsi" w:hAnsiTheme="minorHAnsi" w:cstheme="minorHAnsi"/>
          <w:sz w:val="22"/>
          <w:szCs w:val="22"/>
        </w:rPr>
        <w:t xml:space="preserve">child carried in </w:t>
      </w:r>
      <w:r w:rsidR="00347BF1">
        <w:rPr>
          <w:rFonts w:asciiTheme="minorHAnsi" w:hAnsiTheme="minorHAnsi" w:cstheme="minorHAnsi"/>
          <w:sz w:val="22"/>
          <w:szCs w:val="22"/>
        </w:rPr>
        <w:t xml:space="preserve">a </w:t>
      </w:r>
      <w:r w:rsidR="007C237F" w:rsidRPr="006F225E">
        <w:rPr>
          <w:rFonts w:asciiTheme="minorHAnsi" w:hAnsiTheme="minorHAnsi" w:cstheme="minorHAnsi"/>
          <w:sz w:val="22"/>
          <w:szCs w:val="22"/>
        </w:rPr>
        <w:t xml:space="preserve">motor vehicle </w:t>
      </w:r>
      <w:r w:rsidR="00347BF1">
        <w:rPr>
          <w:rFonts w:asciiTheme="minorHAnsi" w:hAnsiTheme="minorHAnsi" w:cstheme="minorHAnsi"/>
          <w:sz w:val="22"/>
          <w:szCs w:val="22"/>
        </w:rPr>
        <w:t>is</w:t>
      </w:r>
      <w:r w:rsidR="007C237F" w:rsidRPr="006F225E">
        <w:rPr>
          <w:rFonts w:asciiTheme="minorHAnsi" w:hAnsiTheme="minorHAnsi" w:cstheme="minorHAnsi"/>
          <w:sz w:val="22"/>
          <w:szCs w:val="22"/>
        </w:rPr>
        <w:t xml:space="preserve"> restrained in a way appropriate to their age and size and that the restraint used be one </w:t>
      </w:r>
      <w:r w:rsidRPr="006F225E">
        <w:rPr>
          <w:rFonts w:asciiTheme="minorHAnsi" w:hAnsiTheme="minorHAnsi" w:cstheme="minorHAnsi"/>
          <w:sz w:val="22"/>
          <w:szCs w:val="22"/>
        </w:rPr>
        <w:t xml:space="preserve">approved </w:t>
      </w:r>
      <w:r w:rsidR="007C237F" w:rsidRPr="006F225E">
        <w:rPr>
          <w:rFonts w:asciiTheme="minorHAnsi" w:hAnsiTheme="minorHAnsi" w:cstheme="minorHAnsi"/>
          <w:sz w:val="22"/>
          <w:szCs w:val="22"/>
        </w:rPr>
        <w:t xml:space="preserve">by </w:t>
      </w:r>
      <w:r w:rsidR="00DB0C2B" w:rsidRPr="006F225E">
        <w:rPr>
          <w:rFonts w:asciiTheme="minorHAnsi" w:hAnsiTheme="minorHAnsi" w:cstheme="minorHAnsi"/>
          <w:sz w:val="22"/>
          <w:szCs w:val="22"/>
        </w:rPr>
        <w:t xml:space="preserve">state and territory road safety </w:t>
      </w:r>
      <w:r w:rsidR="007C237F" w:rsidRPr="006F225E">
        <w:rPr>
          <w:rFonts w:asciiTheme="minorHAnsi" w:hAnsiTheme="minorHAnsi" w:cstheme="minorHAnsi"/>
          <w:sz w:val="22"/>
          <w:szCs w:val="22"/>
        </w:rPr>
        <w:t xml:space="preserve">regulation. </w:t>
      </w:r>
      <w:r w:rsidRPr="006F225E">
        <w:rPr>
          <w:rFonts w:asciiTheme="minorHAnsi" w:hAnsiTheme="minorHAnsi" w:cstheme="minorHAnsi"/>
          <w:sz w:val="22"/>
          <w:szCs w:val="22"/>
        </w:rPr>
        <w:t xml:space="preserve">Each jurisdiction then defines an approved </w:t>
      </w:r>
      <w:r w:rsidR="007C237F" w:rsidRPr="006F225E">
        <w:rPr>
          <w:rFonts w:asciiTheme="minorHAnsi" w:hAnsiTheme="minorHAnsi" w:cstheme="minorHAnsi"/>
          <w:sz w:val="22"/>
          <w:szCs w:val="22"/>
        </w:rPr>
        <w:t>restraint</w:t>
      </w:r>
      <w:r w:rsidRPr="006F225E">
        <w:rPr>
          <w:rFonts w:asciiTheme="minorHAnsi" w:hAnsiTheme="minorHAnsi" w:cstheme="minorHAnsi"/>
          <w:sz w:val="22"/>
          <w:szCs w:val="22"/>
        </w:rPr>
        <w:t xml:space="preserve">. </w:t>
      </w:r>
      <w:r w:rsidR="007C237F" w:rsidRPr="006F225E">
        <w:rPr>
          <w:rFonts w:asciiTheme="minorHAnsi" w:hAnsiTheme="minorHAnsi" w:cstheme="minorHAnsi"/>
          <w:sz w:val="22"/>
          <w:szCs w:val="22"/>
        </w:rPr>
        <w:t xml:space="preserve">These </w:t>
      </w:r>
      <w:r w:rsidR="00DB0C2B" w:rsidRPr="006F225E">
        <w:rPr>
          <w:rFonts w:asciiTheme="minorHAnsi" w:hAnsiTheme="minorHAnsi" w:cstheme="minorHAnsi"/>
          <w:sz w:val="22"/>
          <w:szCs w:val="22"/>
        </w:rPr>
        <w:t xml:space="preserve">use </w:t>
      </w:r>
      <w:r w:rsidRPr="006F225E">
        <w:rPr>
          <w:rFonts w:asciiTheme="minorHAnsi" w:hAnsiTheme="minorHAnsi" w:cstheme="minorHAnsi"/>
          <w:sz w:val="22"/>
          <w:szCs w:val="22"/>
        </w:rPr>
        <w:t>laws are enforced by Police in each state and territory.</w:t>
      </w:r>
    </w:p>
    <w:p w:rsidR="007C237F" w:rsidRPr="006F225E" w:rsidRDefault="00A32E0D" w:rsidP="00C0007B">
      <w:pPr>
        <w:spacing w:before="120" w:after="240" w:line="220" w:lineRule="atLeast"/>
        <w:jc w:val="both"/>
        <w:rPr>
          <w:rFonts w:asciiTheme="minorHAnsi" w:hAnsiTheme="minorHAnsi" w:cstheme="minorHAnsi"/>
          <w:sz w:val="22"/>
          <w:szCs w:val="22"/>
        </w:rPr>
      </w:pPr>
      <w:r>
        <w:rPr>
          <w:rFonts w:asciiTheme="minorHAnsi" w:hAnsiTheme="minorHAnsi" w:cstheme="minorHAnsi"/>
          <w:sz w:val="22"/>
          <w:szCs w:val="22"/>
        </w:rPr>
        <w:t>Whilst u</w:t>
      </w:r>
      <w:r w:rsidR="00AC56F7" w:rsidRPr="006F225E">
        <w:rPr>
          <w:rFonts w:asciiTheme="minorHAnsi" w:hAnsiTheme="minorHAnsi" w:cstheme="minorHAnsi"/>
          <w:sz w:val="22"/>
          <w:szCs w:val="22"/>
        </w:rPr>
        <w:t xml:space="preserve">se laws </w:t>
      </w:r>
      <w:r>
        <w:rPr>
          <w:rFonts w:asciiTheme="minorHAnsi" w:hAnsiTheme="minorHAnsi" w:cstheme="minorHAnsi"/>
          <w:sz w:val="22"/>
          <w:szCs w:val="22"/>
        </w:rPr>
        <w:t xml:space="preserve">may </w:t>
      </w:r>
      <w:r w:rsidR="00AC56F7" w:rsidRPr="006F225E">
        <w:rPr>
          <w:rFonts w:asciiTheme="minorHAnsi" w:hAnsiTheme="minorHAnsi" w:cstheme="minorHAnsi"/>
          <w:sz w:val="22"/>
          <w:szCs w:val="22"/>
        </w:rPr>
        <w:t xml:space="preserve">vary </w:t>
      </w:r>
      <w:r w:rsidR="00DB0C2B" w:rsidRPr="006F225E">
        <w:rPr>
          <w:rFonts w:asciiTheme="minorHAnsi" w:hAnsiTheme="minorHAnsi" w:cstheme="minorHAnsi"/>
          <w:sz w:val="22"/>
          <w:szCs w:val="22"/>
        </w:rPr>
        <w:t xml:space="preserve">slightly </w:t>
      </w:r>
      <w:r w:rsidR="00AC56F7" w:rsidRPr="006F225E">
        <w:rPr>
          <w:rFonts w:asciiTheme="minorHAnsi" w:hAnsiTheme="minorHAnsi" w:cstheme="minorHAnsi"/>
          <w:sz w:val="22"/>
          <w:szCs w:val="22"/>
        </w:rPr>
        <w:t>between states and territories</w:t>
      </w:r>
      <w:r>
        <w:rPr>
          <w:rFonts w:asciiTheme="minorHAnsi" w:hAnsiTheme="minorHAnsi" w:cstheme="minorHAnsi"/>
          <w:sz w:val="22"/>
          <w:szCs w:val="22"/>
        </w:rPr>
        <w:t xml:space="preserve">, </w:t>
      </w:r>
      <w:r w:rsidR="00515996">
        <w:rPr>
          <w:rFonts w:asciiTheme="minorHAnsi" w:hAnsiTheme="minorHAnsi" w:cstheme="minorHAnsi"/>
          <w:sz w:val="22"/>
          <w:szCs w:val="22"/>
        </w:rPr>
        <w:t xml:space="preserve">they </w:t>
      </w:r>
      <w:r w:rsidR="00515996" w:rsidRPr="006F225E">
        <w:rPr>
          <w:rFonts w:asciiTheme="minorHAnsi" w:hAnsiTheme="minorHAnsi" w:cstheme="minorHAnsi"/>
          <w:sz w:val="22"/>
          <w:szCs w:val="22"/>
        </w:rPr>
        <w:t>are</w:t>
      </w:r>
      <w:r w:rsidR="00DB0C2B" w:rsidRPr="006F225E">
        <w:rPr>
          <w:rFonts w:asciiTheme="minorHAnsi" w:hAnsiTheme="minorHAnsi" w:cstheme="minorHAnsi"/>
          <w:sz w:val="22"/>
          <w:szCs w:val="22"/>
        </w:rPr>
        <w:t xml:space="preserve"> </w:t>
      </w:r>
      <w:r>
        <w:rPr>
          <w:rFonts w:asciiTheme="minorHAnsi" w:hAnsiTheme="minorHAnsi" w:cstheme="minorHAnsi"/>
          <w:sz w:val="22"/>
          <w:szCs w:val="22"/>
        </w:rPr>
        <w:t xml:space="preserve">all </w:t>
      </w:r>
      <w:r w:rsidR="00DB0C2B" w:rsidRPr="006F225E">
        <w:rPr>
          <w:rFonts w:asciiTheme="minorHAnsi" w:hAnsiTheme="minorHAnsi" w:cstheme="minorHAnsi"/>
          <w:sz w:val="22"/>
          <w:szCs w:val="22"/>
        </w:rPr>
        <w:t xml:space="preserve">based on AS/NZS 1754.  </w:t>
      </w:r>
      <w:r w:rsidR="00AC56F7" w:rsidRPr="006F225E">
        <w:rPr>
          <w:rFonts w:asciiTheme="minorHAnsi" w:hAnsiTheme="minorHAnsi" w:cstheme="minorHAnsi"/>
          <w:sz w:val="22"/>
          <w:szCs w:val="22"/>
        </w:rPr>
        <w:t xml:space="preserve">At least one jurisdiction requires that </w:t>
      </w:r>
      <w:r w:rsidR="007C237F" w:rsidRPr="006F225E">
        <w:rPr>
          <w:rFonts w:asciiTheme="minorHAnsi" w:hAnsiTheme="minorHAnsi" w:cstheme="minorHAnsi"/>
          <w:sz w:val="22"/>
          <w:szCs w:val="22"/>
        </w:rPr>
        <w:t>child restraints be certified</w:t>
      </w:r>
      <w:r w:rsidR="00DB0C2B" w:rsidRPr="006F225E">
        <w:rPr>
          <w:rStyle w:val="FootnoteReference"/>
          <w:rFonts w:asciiTheme="minorHAnsi" w:hAnsiTheme="minorHAnsi" w:cstheme="minorHAnsi"/>
          <w:sz w:val="22"/>
          <w:szCs w:val="22"/>
        </w:rPr>
        <w:footnoteReference w:id="7"/>
      </w:r>
      <w:r w:rsidR="007C237F" w:rsidRPr="006F225E">
        <w:rPr>
          <w:rFonts w:asciiTheme="minorHAnsi" w:hAnsiTheme="minorHAnsi" w:cstheme="minorHAnsi"/>
          <w:sz w:val="22"/>
          <w:szCs w:val="22"/>
        </w:rPr>
        <w:t xml:space="preserve"> </w:t>
      </w:r>
      <w:r w:rsidR="00DB0C2B" w:rsidRPr="006F225E">
        <w:rPr>
          <w:rFonts w:asciiTheme="minorHAnsi" w:hAnsiTheme="minorHAnsi" w:cstheme="minorHAnsi"/>
          <w:sz w:val="22"/>
          <w:szCs w:val="22"/>
        </w:rPr>
        <w:t>as meeting AS/NZS 1754</w:t>
      </w:r>
      <w:r w:rsidR="007C237F" w:rsidRPr="006F225E">
        <w:rPr>
          <w:rFonts w:asciiTheme="minorHAnsi" w:hAnsiTheme="minorHAnsi" w:cstheme="minorHAnsi"/>
          <w:sz w:val="22"/>
          <w:szCs w:val="22"/>
        </w:rPr>
        <w:t xml:space="preserve"> while most require that restraints comply with the standard</w:t>
      </w:r>
      <w:r w:rsidR="00AC56F7" w:rsidRPr="006F225E">
        <w:rPr>
          <w:rFonts w:asciiTheme="minorHAnsi" w:hAnsiTheme="minorHAnsi" w:cstheme="minorHAnsi"/>
          <w:sz w:val="22"/>
          <w:szCs w:val="22"/>
        </w:rPr>
        <w:t xml:space="preserve">. </w:t>
      </w:r>
    </w:p>
    <w:p w:rsidR="00AC56F7" w:rsidRPr="006F225E" w:rsidRDefault="007C237F" w:rsidP="00C0007B">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There is some variation in the specifics of which version</w:t>
      </w:r>
      <w:r w:rsidR="009D5F77" w:rsidRPr="006F225E">
        <w:rPr>
          <w:rFonts w:asciiTheme="minorHAnsi" w:hAnsiTheme="minorHAnsi" w:cstheme="minorHAnsi"/>
          <w:sz w:val="22"/>
          <w:szCs w:val="22"/>
        </w:rPr>
        <w:t>s</w:t>
      </w:r>
      <w:r w:rsidRPr="006F225E">
        <w:rPr>
          <w:rFonts w:asciiTheme="minorHAnsi" w:hAnsiTheme="minorHAnsi" w:cstheme="minorHAnsi"/>
          <w:sz w:val="22"/>
          <w:szCs w:val="22"/>
        </w:rPr>
        <w:t xml:space="preserve"> of AS/NZS 1754</w:t>
      </w:r>
      <w:r w:rsidR="009D5F77" w:rsidRPr="006F225E">
        <w:rPr>
          <w:rFonts w:asciiTheme="minorHAnsi" w:hAnsiTheme="minorHAnsi" w:cstheme="minorHAnsi"/>
          <w:sz w:val="22"/>
          <w:szCs w:val="22"/>
        </w:rPr>
        <w:t xml:space="preserve"> are legal to use in the various jurisdictions.</w:t>
      </w:r>
      <w:r w:rsidRPr="006F225E">
        <w:rPr>
          <w:rFonts w:asciiTheme="minorHAnsi" w:hAnsiTheme="minorHAnsi" w:cstheme="minorHAnsi"/>
          <w:sz w:val="22"/>
          <w:szCs w:val="22"/>
        </w:rPr>
        <w:t xml:space="preserve"> </w:t>
      </w:r>
      <w:r w:rsidR="003A115B" w:rsidRPr="006F225E">
        <w:rPr>
          <w:rFonts w:asciiTheme="minorHAnsi" w:hAnsiTheme="minorHAnsi" w:cstheme="minorHAnsi"/>
          <w:sz w:val="22"/>
          <w:szCs w:val="22"/>
        </w:rPr>
        <w:t xml:space="preserve">The Commonwealth </w:t>
      </w:r>
      <w:r w:rsidR="009D5F77" w:rsidRPr="006F225E">
        <w:rPr>
          <w:rFonts w:asciiTheme="minorHAnsi" w:hAnsiTheme="minorHAnsi" w:cstheme="minorHAnsi"/>
          <w:sz w:val="22"/>
          <w:szCs w:val="22"/>
        </w:rPr>
        <w:t xml:space="preserve">has no power in relation to </w:t>
      </w:r>
      <w:r w:rsidR="00DB0C2B" w:rsidRPr="006F225E">
        <w:rPr>
          <w:rFonts w:asciiTheme="minorHAnsi" w:hAnsiTheme="minorHAnsi" w:cstheme="minorHAnsi"/>
          <w:sz w:val="22"/>
          <w:szCs w:val="22"/>
        </w:rPr>
        <w:t>these laws</w:t>
      </w:r>
      <w:r w:rsidR="009D5F77" w:rsidRPr="006F225E">
        <w:rPr>
          <w:rFonts w:asciiTheme="minorHAnsi" w:hAnsiTheme="minorHAnsi" w:cstheme="minorHAnsi"/>
          <w:sz w:val="22"/>
          <w:szCs w:val="22"/>
        </w:rPr>
        <w:t xml:space="preserve"> and any action flowing from the current consultation will not affect them</w:t>
      </w:r>
      <w:r w:rsidR="004B5231" w:rsidRPr="006F225E">
        <w:rPr>
          <w:rFonts w:asciiTheme="minorHAnsi" w:hAnsiTheme="minorHAnsi" w:cstheme="minorHAnsi"/>
          <w:sz w:val="22"/>
          <w:szCs w:val="22"/>
        </w:rPr>
        <w:t xml:space="preserve">. </w:t>
      </w:r>
    </w:p>
    <w:p w:rsidR="00AC56F7" w:rsidRPr="00033B1F" w:rsidRDefault="00AC56F7" w:rsidP="00DB0C2B">
      <w:pPr>
        <w:pStyle w:val="Heading1"/>
        <w:numPr>
          <w:ilvl w:val="0"/>
          <w:numId w:val="27"/>
        </w:numPr>
        <w:spacing w:before="120" w:after="240" w:line="220" w:lineRule="atLeast"/>
        <w:ind w:left="357" w:hanging="357"/>
        <w:jc w:val="both"/>
        <w:rPr>
          <w:rFonts w:asciiTheme="minorHAnsi" w:hAnsiTheme="minorHAnsi" w:cstheme="minorHAnsi"/>
          <w:sz w:val="36"/>
        </w:rPr>
      </w:pPr>
      <w:bookmarkStart w:id="13" w:name="_Toc391378925"/>
      <w:r w:rsidRPr="00033B1F">
        <w:rPr>
          <w:rFonts w:asciiTheme="minorHAnsi" w:hAnsiTheme="minorHAnsi" w:cstheme="minorHAnsi"/>
          <w:sz w:val="36"/>
        </w:rPr>
        <w:t>Review of the safety standard</w:t>
      </w:r>
      <w:bookmarkEnd w:id="13"/>
    </w:p>
    <w:p w:rsidR="00D152DD" w:rsidRPr="006F225E" w:rsidRDefault="004E3A8C" w:rsidP="00A93A19">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Following the public comments made in response to the November 2</w:t>
      </w:r>
      <w:r w:rsidR="0078571D">
        <w:rPr>
          <w:rFonts w:asciiTheme="minorHAnsi" w:hAnsiTheme="minorHAnsi" w:cstheme="minorHAnsi"/>
          <w:sz w:val="22"/>
          <w:szCs w:val="22"/>
        </w:rPr>
        <w:t>013</w:t>
      </w:r>
      <w:r w:rsidRPr="006F225E">
        <w:rPr>
          <w:rFonts w:asciiTheme="minorHAnsi" w:hAnsiTheme="minorHAnsi" w:cstheme="minorHAnsi"/>
          <w:sz w:val="22"/>
          <w:szCs w:val="22"/>
        </w:rPr>
        <w:t xml:space="preserve"> consultation, discussion with experts and interested groups and further re</w:t>
      </w:r>
      <w:r w:rsidR="00D152DD" w:rsidRPr="006F225E">
        <w:rPr>
          <w:rFonts w:asciiTheme="minorHAnsi" w:hAnsiTheme="minorHAnsi" w:cstheme="minorHAnsi"/>
          <w:sz w:val="22"/>
          <w:szCs w:val="22"/>
        </w:rPr>
        <w:t xml:space="preserve">search and review, the ACCC is now actively considering the best way to ensure that child restraints supplied to the Australian market </w:t>
      </w:r>
      <w:r w:rsidR="00FB02A0">
        <w:rPr>
          <w:rFonts w:asciiTheme="minorHAnsi" w:hAnsiTheme="minorHAnsi" w:cstheme="minorHAnsi"/>
          <w:sz w:val="22"/>
          <w:szCs w:val="22"/>
        </w:rPr>
        <w:t>provide protection to children in motor vehicles</w:t>
      </w:r>
      <w:r w:rsidR="00D152DD" w:rsidRPr="006F225E">
        <w:rPr>
          <w:rFonts w:asciiTheme="minorHAnsi" w:hAnsiTheme="minorHAnsi" w:cstheme="minorHAnsi"/>
          <w:sz w:val="22"/>
          <w:szCs w:val="22"/>
        </w:rPr>
        <w:t>.</w:t>
      </w:r>
    </w:p>
    <w:p w:rsidR="00D152DD" w:rsidRDefault="00D152DD" w:rsidP="00A93A19">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Th</w:t>
      </w:r>
      <w:r w:rsidR="00B200AE" w:rsidRPr="006F225E">
        <w:rPr>
          <w:rFonts w:asciiTheme="minorHAnsi" w:hAnsiTheme="minorHAnsi" w:cstheme="minorHAnsi"/>
          <w:sz w:val="22"/>
          <w:szCs w:val="22"/>
        </w:rPr>
        <w:t xml:space="preserve">is active consideration was triggered by </w:t>
      </w:r>
      <w:r w:rsidRPr="006F225E">
        <w:rPr>
          <w:rFonts w:asciiTheme="minorHAnsi" w:hAnsiTheme="minorHAnsi" w:cstheme="minorHAnsi"/>
          <w:sz w:val="22"/>
          <w:szCs w:val="22"/>
        </w:rPr>
        <w:t>comments expressing concern over differences between the requirements in AS/NZS 1754 (various years) and</w:t>
      </w:r>
      <w:r w:rsidR="00B200AE" w:rsidRPr="006F225E">
        <w:rPr>
          <w:rFonts w:asciiTheme="minorHAnsi" w:hAnsiTheme="minorHAnsi" w:cstheme="minorHAnsi"/>
          <w:sz w:val="22"/>
          <w:szCs w:val="22"/>
        </w:rPr>
        <w:t xml:space="preserve"> the safety standard and</w:t>
      </w:r>
      <w:r w:rsidRPr="006F225E">
        <w:rPr>
          <w:rFonts w:asciiTheme="minorHAnsi" w:hAnsiTheme="minorHAnsi" w:cstheme="minorHAnsi"/>
          <w:sz w:val="22"/>
          <w:szCs w:val="22"/>
        </w:rPr>
        <w:t>, specifically</w:t>
      </w:r>
      <w:r w:rsidR="00B200AE" w:rsidRPr="006F225E">
        <w:rPr>
          <w:rFonts w:asciiTheme="minorHAnsi" w:hAnsiTheme="minorHAnsi" w:cstheme="minorHAnsi"/>
          <w:sz w:val="22"/>
          <w:szCs w:val="22"/>
        </w:rPr>
        <w:t>,</w:t>
      </w:r>
      <w:r w:rsidRPr="006F225E">
        <w:rPr>
          <w:rFonts w:asciiTheme="minorHAnsi" w:hAnsiTheme="minorHAnsi" w:cstheme="minorHAnsi"/>
          <w:sz w:val="22"/>
          <w:szCs w:val="22"/>
        </w:rPr>
        <w:t xml:space="preserve"> the proposal that some provisions of AS/NZS 1754:2013 </w:t>
      </w:r>
      <w:r w:rsidRPr="006F225E">
        <w:rPr>
          <w:rFonts w:asciiTheme="minorHAnsi" w:hAnsiTheme="minorHAnsi" w:cstheme="minorHAnsi"/>
          <w:sz w:val="22"/>
          <w:szCs w:val="22"/>
          <w:u w:val="single"/>
        </w:rPr>
        <w:t>not</w:t>
      </w:r>
      <w:r w:rsidRPr="006F225E">
        <w:rPr>
          <w:rFonts w:asciiTheme="minorHAnsi" w:hAnsiTheme="minorHAnsi" w:cstheme="minorHAnsi"/>
          <w:sz w:val="22"/>
          <w:szCs w:val="22"/>
        </w:rPr>
        <w:t xml:space="preserve"> be incorporated in a new safety standard. Stakeholders, particularly road </w:t>
      </w:r>
      <w:r w:rsidR="00FB02A0">
        <w:rPr>
          <w:rFonts w:asciiTheme="minorHAnsi" w:hAnsiTheme="minorHAnsi" w:cstheme="minorHAnsi"/>
          <w:sz w:val="22"/>
          <w:szCs w:val="22"/>
        </w:rPr>
        <w:t xml:space="preserve">safety </w:t>
      </w:r>
      <w:r w:rsidRPr="006F225E">
        <w:rPr>
          <w:rFonts w:asciiTheme="minorHAnsi" w:hAnsiTheme="minorHAnsi" w:cstheme="minorHAnsi"/>
          <w:sz w:val="22"/>
          <w:szCs w:val="22"/>
        </w:rPr>
        <w:t xml:space="preserve">authorities, were concerned that any variation between the requirements in </w:t>
      </w:r>
      <w:r w:rsidR="00FB02A0">
        <w:rPr>
          <w:rFonts w:asciiTheme="minorHAnsi" w:hAnsiTheme="minorHAnsi" w:cstheme="minorHAnsi"/>
          <w:sz w:val="22"/>
          <w:szCs w:val="22"/>
        </w:rPr>
        <w:t>AS/NZS 1754</w:t>
      </w:r>
      <w:r w:rsidRPr="006F225E">
        <w:rPr>
          <w:rFonts w:asciiTheme="minorHAnsi" w:hAnsiTheme="minorHAnsi" w:cstheme="minorHAnsi"/>
          <w:sz w:val="22"/>
          <w:szCs w:val="22"/>
        </w:rPr>
        <w:t xml:space="preserve"> and in the safety standard had the potential to allow non-compliant</w:t>
      </w:r>
      <w:r w:rsidR="00FB02A0">
        <w:rPr>
          <w:rFonts w:asciiTheme="minorHAnsi" w:hAnsiTheme="minorHAnsi" w:cstheme="minorHAnsi"/>
          <w:sz w:val="22"/>
          <w:szCs w:val="22"/>
        </w:rPr>
        <w:t xml:space="preserve"> (with AS/NZS 1754)</w:t>
      </w:r>
      <w:r w:rsidRPr="006F225E">
        <w:rPr>
          <w:rFonts w:asciiTheme="minorHAnsi" w:hAnsiTheme="minorHAnsi" w:cstheme="minorHAnsi"/>
          <w:sz w:val="22"/>
          <w:szCs w:val="22"/>
        </w:rPr>
        <w:t xml:space="preserve">, possibly unsafe, restraints to be sold </w:t>
      </w:r>
      <w:r w:rsidR="00B200AE" w:rsidRPr="006F225E">
        <w:rPr>
          <w:rFonts w:asciiTheme="minorHAnsi" w:hAnsiTheme="minorHAnsi" w:cstheme="minorHAnsi"/>
          <w:sz w:val="22"/>
          <w:szCs w:val="22"/>
        </w:rPr>
        <w:t xml:space="preserve">and/or </w:t>
      </w:r>
      <w:r w:rsidR="00F3780F">
        <w:rPr>
          <w:rFonts w:asciiTheme="minorHAnsi" w:hAnsiTheme="minorHAnsi" w:cstheme="minorHAnsi"/>
          <w:sz w:val="22"/>
          <w:szCs w:val="22"/>
        </w:rPr>
        <w:t xml:space="preserve">the potential </w:t>
      </w:r>
      <w:r w:rsidR="0078571D">
        <w:rPr>
          <w:rFonts w:asciiTheme="minorHAnsi" w:hAnsiTheme="minorHAnsi" w:cstheme="minorHAnsi"/>
          <w:sz w:val="22"/>
          <w:szCs w:val="22"/>
        </w:rPr>
        <w:t xml:space="preserve">to contribute to </w:t>
      </w:r>
      <w:r w:rsidR="00B200AE" w:rsidRPr="006F225E">
        <w:rPr>
          <w:rFonts w:asciiTheme="minorHAnsi" w:hAnsiTheme="minorHAnsi" w:cstheme="minorHAnsi"/>
          <w:sz w:val="22"/>
          <w:szCs w:val="22"/>
        </w:rPr>
        <w:t>confusion among suppliers and consumers over the difference</w:t>
      </w:r>
      <w:r w:rsidR="00F3780F">
        <w:rPr>
          <w:rFonts w:asciiTheme="minorHAnsi" w:hAnsiTheme="minorHAnsi" w:cstheme="minorHAnsi"/>
          <w:sz w:val="22"/>
          <w:szCs w:val="22"/>
        </w:rPr>
        <w:t>s</w:t>
      </w:r>
      <w:r w:rsidR="00B200AE" w:rsidRPr="006F225E">
        <w:rPr>
          <w:rFonts w:asciiTheme="minorHAnsi" w:hAnsiTheme="minorHAnsi" w:cstheme="minorHAnsi"/>
          <w:sz w:val="22"/>
          <w:szCs w:val="22"/>
        </w:rPr>
        <w:t>.</w:t>
      </w:r>
    </w:p>
    <w:p w:rsidR="00FB02A0" w:rsidRPr="0078571D" w:rsidRDefault="00FB02A0" w:rsidP="00A93A19">
      <w:pPr>
        <w:spacing w:before="120" w:after="240" w:line="220" w:lineRule="atLeast"/>
        <w:jc w:val="both"/>
        <w:rPr>
          <w:rFonts w:asciiTheme="minorHAnsi" w:hAnsiTheme="minorHAnsi" w:cstheme="minorHAnsi"/>
          <w:color w:val="000000" w:themeColor="text1"/>
          <w:sz w:val="22"/>
          <w:szCs w:val="22"/>
        </w:rPr>
      </w:pPr>
      <w:r>
        <w:rPr>
          <w:rFonts w:asciiTheme="minorHAnsi" w:hAnsiTheme="minorHAnsi" w:cstheme="minorHAnsi"/>
          <w:sz w:val="22"/>
          <w:szCs w:val="22"/>
        </w:rPr>
        <w:t>While there is no evidence that these concerns have manifest</w:t>
      </w:r>
      <w:r w:rsidR="00925DCA">
        <w:rPr>
          <w:rFonts w:asciiTheme="minorHAnsi" w:hAnsiTheme="minorHAnsi" w:cstheme="minorHAnsi"/>
          <w:sz w:val="22"/>
          <w:szCs w:val="22"/>
        </w:rPr>
        <w:t>ed</w:t>
      </w:r>
      <w:r>
        <w:rPr>
          <w:rFonts w:asciiTheme="minorHAnsi" w:hAnsiTheme="minorHAnsi" w:cstheme="minorHAnsi"/>
          <w:sz w:val="22"/>
          <w:szCs w:val="22"/>
        </w:rPr>
        <w:t xml:space="preserve"> themselves since the introduction of the safety standard in 1978, the ACCC is of the view that these are important </w:t>
      </w:r>
      <w:r w:rsidR="00562CD4">
        <w:rPr>
          <w:rFonts w:asciiTheme="minorHAnsi" w:hAnsiTheme="minorHAnsi" w:cstheme="minorHAnsi"/>
          <w:sz w:val="22"/>
          <w:szCs w:val="22"/>
        </w:rPr>
        <w:t>issues</w:t>
      </w:r>
      <w:r>
        <w:rPr>
          <w:rFonts w:asciiTheme="minorHAnsi" w:hAnsiTheme="minorHAnsi" w:cstheme="minorHAnsi"/>
          <w:sz w:val="22"/>
          <w:szCs w:val="22"/>
        </w:rPr>
        <w:t xml:space="preserve"> which should </w:t>
      </w:r>
      <w:r w:rsidRPr="0078571D">
        <w:rPr>
          <w:rFonts w:asciiTheme="minorHAnsi" w:hAnsiTheme="minorHAnsi" w:cstheme="minorHAnsi"/>
          <w:color w:val="000000" w:themeColor="text1"/>
          <w:sz w:val="22"/>
          <w:szCs w:val="22"/>
        </w:rPr>
        <w:t>be properly considered and that the current method of supporting the road safety objectives associated with child restraints may not be the best way forward</w:t>
      </w:r>
      <w:r w:rsidR="00562CD4" w:rsidRPr="0078571D">
        <w:rPr>
          <w:rFonts w:asciiTheme="minorHAnsi" w:hAnsiTheme="minorHAnsi" w:cstheme="minorHAnsi"/>
          <w:color w:val="000000" w:themeColor="text1"/>
          <w:sz w:val="22"/>
          <w:szCs w:val="22"/>
        </w:rPr>
        <w:t xml:space="preserve"> in the current legal environment</w:t>
      </w:r>
      <w:r w:rsidRPr="0078571D">
        <w:rPr>
          <w:rFonts w:asciiTheme="minorHAnsi" w:hAnsiTheme="minorHAnsi" w:cstheme="minorHAnsi"/>
          <w:color w:val="000000" w:themeColor="text1"/>
          <w:sz w:val="22"/>
          <w:szCs w:val="22"/>
        </w:rPr>
        <w:t>.</w:t>
      </w:r>
    </w:p>
    <w:p w:rsidR="00EC62B8" w:rsidRPr="0078571D" w:rsidRDefault="00B200AE" w:rsidP="00A93A19">
      <w:pPr>
        <w:spacing w:before="120" w:after="240" w:line="220" w:lineRule="atLeast"/>
        <w:jc w:val="both"/>
        <w:rPr>
          <w:rFonts w:asciiTheme="minorHAnsi" w:eastAsia="Calibri" w:hAnsiTheme="minorHAnsi" w:cstheme="minorHAnsi"/>
          <w:color w:val="000000" w:themeColor="text1"/>
          <w:sz w:val="22"/>
          <w:szCs w:val="22"/>
          <w:lang w:val="en-AU" w:eastAsia="en-US"/>
        </w:rPr>
      </w:pPr>
      <w:r w:rsidRPr="0078571D">
        <w:rPr>
          <w:rFonts w:asciiTheme="minorHAnsi" w:eastAsia="Calibri" w:hAnsiTheme="minorHAnsi" w:cstheme="minorHAnsi"/>
          <w:color w:val="000000" w:themeColor="text1"/>
          <w:sz w:val="22"/>
          <w:szCs w:val="22"/>
          <w:lang w:val="en-AU" w:eastAsia="en-US"/>
        </w:rPr>
        <w:t>As noted above</w:t>
      </w:r>
      <w:r w:rsidR="00EC62B8" w:rsidRPr="0078571D">
        <w:rPr>
          <w:rFonts w:asciiTheme="minorHAnsi" w:eastAsia="Calibri" w:hAnsiTheme="minorHAnsi" w:cstheme="minorHAnsi"/>
          <w:color w:val="000000" w:themeColor="text1"/>
          <w:sz w:val="22"/>
          <w:szCs w:val="22"/>
          <w:lang w:val="en-AU" w:eastAsia="en-US"/>
        </w:rPr>
        <w:t xml:space="preserve">, the </w:t>
      </w:r>
      <w:r w:rsidRPr="0078571D">
        <w:rPr>
          <w:rFonts w:asciiTheme="minorHAnsi" w:hAnsiTheme="minorHAnsi" w:cstheme="minorHAnsi"/>
          <w:color w:val="000000" w:themeColor="text1"/>
          <w:sz w:val="22"/>
          <w:szCs w:val="22"/>
        </w:rPr>
        <w:t xml:space="preserve">safety standard </w:t>
      </w:r>
      <w:r w:rsidR="00EC62B8" w:rsidRPr="0078571D">
        <w:rPr>
          <w:rStyle w:val="contentossregulation"/>
          <w:rFonts w:asciiTheme="minorHAnsi" w:hAnsiTheme="minorHAnsi" w:cstheme="minorHAnsi"/>
          <w:color w:val="000000" w:themeColor="text1"/>
          <w:sz w:val="22"/>
          <w:szCs w:val="22"/>
        </w:rPr>
        <w:t xml:space="preserve">was first made under the provisions of the </w:t>
      </w:r>
      <w:r w:rsidR="00EC62B8" w:rsidRPr="0078571D">
        <w:rPr>
          <w:rFonts w:asciiTheme="minorHAnsi" w:hAnsiTheme="minorHAnsi" w:cstheme="minorHAnsi"/>
          <w:color w:val="000000" w:themeColor="text1"/>
          <w:sz w:val="22"/>
          <w:szCs w:val="22"/>
        </w:rPr>
        <w:t xml:space="preserve">TPA and came into effect </w:t>
      </w:r>
      <w:r w:rsidRPr="0078571D">
        <w:rPr>
          <w:rFonts w:asciiTheme="minorHAnsi" w:eastAsia="Calibri" w:hAnsiTheme="minorHAnsi" w:cstheme="minorHAnsi"/>
          <w:color w:val="000000" w:themeColor="text1"/>
          <w:sz w:val="22"/>
          <w:szCs w:val="22"/>
          <w:lang w:val="en-AU" w:eastAsia="en-US"/>
        </w:rPr>
        <w:t xml:space="preserve">on 7 November 1978 and was last amended 7 May 2011. </w:t>
      </w:r>
      <w:r w:rsidR="00EC62B8" w:rsidRPr="0078571D">
        <w:rPr>
          <w:rFonts w:asciiTheme="minorHAnsi" w:eastAsia="Calibri" w:hAnsiTheme="minorHAnsi" w:cstheme="minorHAnsi"/>
          <w:color w:val="000000" w:themeColor="text1"/>
          <w:sz w:val="22"/>
          <w:szCs w:val="22"/>
          <w:lang w:val="en-AU" w:eastAsia="en-US"/>
        </w:rPr>
        <w:t>At the time this was the principle means of regulating what child restraints could be supplied (and therefor</w:t>
      </w:r>
      <w:r w:rsidR="00925DCA" w:rsidRPr="0078571D">
        <w:rPr>
          <w:rFonts w:asciiTheme="minorHAnsi" w:eastAsia="Calibri" w:hAnsiTheme="minorHAnsi" w:cstheme="minorHAnsi"/>
          <w:color w:val="000000" w:themeColor="text1"/>
          <w:sz w:val="22"/>
          <w:szCs w:val="22"/>
          <w:lang w:val="en-AU" w:eastAsia="en-US"/>
        </w:rPr>
        <w:t>e</w:t>
      </w:r>
      <w:r w:rsidR="00EC62B8" w:rsidRPr="0078571D">
        <w:rPr>
          <w:rFonts w:asciiTheme="minorHAnsi" w:eastAsia="Calibri" w:hAnsiTheme="minorHAnsi" w:cstheme="minorHAnsi"/>
          <w:color w:val="000000" w:themeColor="text1"/>
          <w:sz w:val="22"/>
          <w:szCs w:val="22"/>
          <w:lang w:val="en-AU" w:eastAsia="en-US"/>
        </w:rPr>
        <w:t xml:space="preserve"> used) in Australia.</w:t>
      </w:r>
    </w:p>
    <w:p w:rsidR="00EC62B8" w:rsidRPr="0078571D" w:rsidRDefault="00EC62B8" w:rsidP="00A93A19">
      <w:pPr>
        <w:spacing w:before="120" w:after="240" w:line="220" w:lineRule="atLeast"/>
        <w:jc w:val="both"/>
        <w:rPr>
          <w:rFonts w:asciiTheme="minorHAnsi" w:eastAsia="Calibri" w:hAnsiTheme="minorHAnsi" w:cstheme="minorHAnsi"/>
          <w:color w:val="000000" w:themeColor="text1"/>
          <w:sz w:val="22"/>
          <w:szCs w:val="22"/>
          <w:lang w:val="en-AU" w:eastAsia="en-US"/>
        </w:rPr>
      </w:pPr>
      <w:r w:rsidRPr="0078571D">
        <w:rPr>
          <w:rFonts w:asciiTheme="minorHAnsi" w:eastAsia="Calibri" w:hAnsiTheme="minorHAnsi" w:cstheme="minorHAnsi"/>
          <w:color w:val="000000" w:themeColor="text1"/>
          <w:sz w:val="22"/>
          <w:szCs w:val="22"/>
          <w:lang w:val="en-AU" w:eastAsia="en-US"/>
        </w:rPr>
        <w:t>State and Territory authorities started to enact regulations in the mid-1980s stipulating which child restraints were to be used in their jurisdictions</w:t>
      </w:r>
      <w:r w:rsidR="0078571D">
        <w:rPr>
          <w:rFonts w:asciiTheme="minorHAnsi" w:eastAsia="Calibri" w:hAnsiTheme="minorHAnsi" w:cstheme="minorHAnsi"/>
          <w:color w:val="000000" w:themeColor="text1"/>
          <w:sz w:val="22"/>
          <w:szCs w:val="22"/>
          <w:lang w:val="en-AU" w:eastAsia="en-US"/>
        </w:rPr>
        <w:t>. I</w:t>
      </w:r>
      <w:r w:rsidR="0053591F" w:rsidRPr="0078571D">
        <w:rPr>
          <w:rFonts w:asciiTheme="minorHAnsi" w:eastAsia="Calibri" w:hAnsiTheme="minorHAnsi" w:cstheme="minorHAnsi"/>
          <w:color w:val="000000" w:themeColor="text1"/>
          <w:sz w:val="22"/>
          <w:szCs w:val="22"/>
          <w:lang w:val="en-AU" w:eastAsia="en-US"/>
        </w:rPr>
        <w:t>t became illegal to use child restraints</w:t>
      </w:r>
      <w:r w:rsidR="00FB02A0" w:rsidRPr="0078571D">
        <w:rPr>
          <w:rFonts w:asciiTheme="minorHAnsi" w:eastAsia="Calibri" w:hAnsiTheme="minorHAnsi" w:cstheme="minorHAnsi"/>
          <w:color w:val="000000" w:themeColor="text1"/>
          <w:sz w:val="22"/>
          <w:szCs w:val="22"/>
          <w:lang w:val="en-AU" w:eastAsia="en-US"/>
        </w:rPr>
        <w:t xml:space="preserve"> which did not comply with a version, or versions of AS/NZS 1754</w:t>
      </w:r>
      <w:r w:rsidR="0078571D">
        <w:rPr>
          <w:rFonts w:asciiTheme="minorHAnsi" w:eastAsia="Calibri" w:hAnsiTheme="minorHAnsi" w:cstheme="minorHAnsi"/>
          <w:color w:val="000000" w:themeColor="text1"/>
          <w:sz w:val="22"/>
          <w:szCs w:val="22"/>
          <w:lang w:val="en-AU" w:eastAsia="en-US"/>
        </w:rPr>
        <w:t xml:space="preserve"> and t</w:t>
      </w:r>
      <w:r w:rsidR="0053591F" w:rsidRPr="0078571D">
        <w:rPr>
          <w:rFonts w:asciiTheme="minorHAnsi" w:eastAsia="Calibri" w:hAnsiTheme="minorHAnsi" w:cstheme="minorHAnsi"/>
          <w:color w:val="000000" w:themeColor="text1"/>
          <w:sz w:val="22"/>
          <w:szCs w:val="22"/>
          <w:lang w:val="en-AU" w:eastAsia="en-US"/>
        </w:rPr>
        <w:t>he system</w:t>
      </w:r>
      <w:r w:rsidR="0078571D">
        <w:rPr>
          <w:rFonts w:asciiTheme="minorHAnsi" w:eastAsia="Calibri" w:hAnsiTheme="minorHAnsi" w:cstheme="minorHAnsi"/>
          <w:color w:val="000000" w:themeColor="text1"/>
          <w:sz w:val="22"/>
          <w:szCs w:val="22"/>
          <w:lang w:val="en-AU" w:eastAsia="en-US"/>
        </w:rPr>
        <w:t>s</w:t>
      </w:r>
      <w:r w:rsidR="0053591F" w:rsidRPr="0078571D">
        <w:rPr>
          <w:rFonts w:asciiTheme="minorHAnsi" w:eastAsia="Calibri" w:hAnsiTheme="minorHAnsi" w:cstheme="minorHAnsi"/>
          <w:color w:val="000000" w:themeColor="text1"/>
          <w:sz w:val="22"/>
          <w:szCs w:val="22"/>
          <w:lang w:val="en-AU" w:eastAsia="en-US"/>
        </w:rPr>
        <w:t xml:space="preserve"> of ‘supply’ regulation and ‘use’ laws </w:t>
      </w:r>
      <w:r w:rsidR="00FB02A0" w:rsidRPr="0078571D">
        <w:rPr>
          <w:rFonts w:asciiTheme="minorHAnsi" w:eastAsia="Calibri" w:hAnsiTheme="minorHAnsi" w:cstheme="minorHAnsi"/>
          <w:color w:val="000000" w:themeColor="text1"/>
          <w:sz w:val="22"/>
          <w:szCs w:val="22"/>
          <w:lang w:val="en-AU" w:eastAsia="en-US"/>
        </w:rPr>
        <w:t xml:space="preserve">has </w:t>
      </w:r>
      <w:r w:rsidR="0053591F" w:rsidRPr="0078571D">
        <w:rPr>
          <w:rFonts w:asciiTheme="minorHAnsi" w:eastAsia="Calibri" w:hAnsiTheme="minorHAnsi" w:cstheme="minorHAnsi"/>
          <w:color w:val="000000" w:themeColor="text1"/>
          <w:sz w:val="22"/>
          <w:szCs w:val="22"/>
          <w:lang w:val="en-AU" w:eastAsia="en-US"/>
        </w:rPr>
        <w:t>overlapped for more than 25 years.</w:t>
      </w:r>
    </w:p>
    <w:p w:rsidR="0053591F" w:rsidRPr="0078571D" w:rsidRDefault="0078571D" w:rsidP="00A93A19">
      <w:pPr>
        <w:spacing w:before="120" w:after="240" w:line="220" w:lineRule="atLeast"/>
        <w:jc w:val="both"/>
        <w:rPr>
          <w:rFonts w:asciiTheme="minorHAnsi" w:eastAsia="Calibri" w:hAnsiTheme="minorHAnsi" w:cstheme="minorHAnsi"/>
          <w:color w:val="000000" w:themeColor="text1"/>
          <w:sz w:val="22"/>
          <w:szCs w:val="22"/>
          <w:lang w:val="en-AU" w:eastAsia="en-US"/>
        </w:rPr>
      </w:pPr>
      <w:r>
        <w:rPr>
          <w:rFonts w:asciiTheme="minorHAnsi" w:eastAsia="Calibri" w:hAnsiTheme="minorHAnsi" w:cstheme="minorHAnsi"/>
          <w:color w:val="000000" w:themeColor="text1"/>
          <w:sz w:val="22"/>
          <w:szCs w:val="22"/>
          <w:lang w:val="en-AU" w:eastAsia="en-US"/>
        </w:rPr>
        <w:lastRenderedPageBreak/>
        <w:t xml:space="preserve">In recent years the </w:t>
      </w:r>
      <w:r w:rsidR="00FB02A0" w:rsidRPr="0078571D">
        <w:rPr>
          <w:rFonts w:asciiTheme="minorHAnsi" w:eastAsia="Calibri" w:hAnsiTheme="minorHAnsi" w:cstheme="minorHAnsi"/>
          <w:color w:val="000000" w:themeColor="text1"/>
          <w:sz w:val="22"/>
          <w:szCs w:val="22"/>
          <w:lang w:val="en-AU" w:eastAsia="en-US"/>
        </w:rPr>
        <w:t>AS/NZS 1754</w:t>
      </w:r>
      <w:r w:rsidR="0053591F" w:rsidRPr="0078571D">
        <w:rPr>
          <w:rFonts w:asciiTheme="minorHAnsi" w:eastAsia="Calibri" w:hAnsiTheme="minorHAnsi" w:cstheme="minorHAnsi"/>
          <w:color w:val="000000" w:themeColor="text1"/>
          <w:sz w:val="22"/>
          <w:szCs w:val="22"/>
          <w:lang w:val="en-AU" w:eastAsia="en-US"/>
        </w:rPr>
        <w:t xml:space="preserve"> has matured considerably, grown more complex and longer, doubl</w:t>
      </w:r>
      <w:r w:rsidR="00FB02A0" w:rsidRPr="0078571D">
        <w:rPr>
          <w:rFonts w:asciiTheme="minorHAnsi" w:eastAsia="Calibri" w:hAnsiTheme="minorHAnsi" w:cstheme="minorHAnsi"/>
          <w:color w:val="000000" w:themeColor="text1"/>
          <w:sz w:val="22"/>
          <w:szCs w:val="22"/>
          <w:lang w:val="en-AU" w:eastAsia="en-US"/>
        </w:rPr>
        <w:t xml:space="preserve">ing </w:t>
      </w:r>
      <w:r w:rsidR="0053591F" w:rsidRPr="0078571D">
        <w:rPr>
          <w:rFonts w:asciiTheme="minorHAnsi" w:eastAsia="Calibri" w:hAnsiTheme="minorHAnsi" w:cstheme="minorHAnsi"/>
          <w:color w:val="000000" w:themeColor="text1"/>
          <w:sz w:val="22"/>
          <w:szCs w:val="22"/>
          <w:lang w:val="en-AU" w:eastAsia="en-US"/>
        </w:rPr>
        <w:t>i</w:t>
      </w:r>
      <w:r w:rsidR="00CF184E">
        <w:rPr>
          <w:rFonts w:asciiTheme="minorHAnsi" w:eastAsia="Calibri" w:hAnsiTheme="minorHAnsi" w:cstheme="minorHAnsi"/>
          <w:color w:val="000000" w:themeColor="text1"/>
          <w:sz w:val="22"/>
          <w:szCs w:val="22"/>
          <w:lang w:val="en-AU" w:eastAsia="en-US"/>
        </w:rPr>
        <w:t xml:space="preserve">n </w:t>
      </w:r>
      <w:r w:rsidR="0053591F" w:rsidRPr="0078571D">
        <w:rPr>
          <w:rFonts w:asciiTheme="minorHAnsi" w:eastAsia="Calibri" w:hAnsiTheme="minorHAnsi" w:cstheme="minorHAnsi"/>
          <w:color w:val="000000" w:themeColor="text1"/>
          <w:sz w:val="22"/>
          <w:szCs w:val="22"/>
          <w:lang w:val="en-AU" w:eastAsia="en-US"/>
        </w:rPr>
        <w:t>length</w:t>
      </w:r>
      <w:r>
        <w:rPr>
          <w:rFonts w:asciiTheme="minorHAnsi" w:eastAsia="Calibri" w:hAnsiTheme="minorHAnsi" w:cstheme="minorHAnsi"/>
          <w:color w:val="000000" w:themeColor="text1"/>
          <w:sz w:val="22"/>
          <w:szCs w:val="22"/>
          <w:lang w:val="en-AU" w:eastAsia="en-US"/>
        </w:rPr>
        <w:t xml:space="preserve"> </w:t>
      </w:r>
      <w:r w:rsidR="00CF184E">
        <w:rPr>
          <w:rFonts w:asciiTheme="minorHAnsi" w:eastAsia="Calibri" w:hAnsiTheme="minorHAnsi" w:cstheme="minorHAnsi"/>
          <w:color w:val="000000" w:themeColor="text1"/>
          <w:sz w:val="22"/>
          <w:szCs w:val="22"/>
          <w:lang w:val="en-AU" w:eastAsia="en-US"/>
        </w:rPr>
        <w:t>in 2013.  At the same time</w:t>
      </w:r>
      <w:r>
        <w:rPr>
          <w:rFonts w:asciiTheme="minorHAnsi" w:eastAsia="Calibri" w:hAnsiTheme="minorHAnsi" w:cstheme="minorHAnsi"/>
          <w:color w:val="000000" w:themeColor="text1"/>
          <w:sz w:val="22"/>
          <w:szCs w:val="22"/>
          <w:lang w:val="en-AU" w:eastAsia="en-US"/>
        </w:rPr>
        <w:t xml:space="preserve"> the national transition from the TPA to the ACL has introduced a new consumer guarantee regime relating to acceptable quality</w:t>
      </w:r>
      <w:r w:rsidR="0053591F" w:rsidRPr="0078571D">
        <w:rPr>
          <w:rFonts w:asciiTheme="minorHAnsi" w:eastAsia="Calibri" w:hAnsiTheme="minorHAnsi" w:cstheme="minorHAnsi"/>
          <w:color w:val="000000" w:themeColor="text1"/>
          <w:sz w:val="22"/>
          <w:szCs w:val="22"/>
          <w:lang w:val="en-AU" w:eastAsia="en-US"/>
        </w:rPr>
        <w:t>.</w:t>
      </w:r>
    </w:p>
    <w:p w:rsidR="0053591F" w:rsidRPr="0078571D" w:rsidRDefault="0053591F" w:rsidP="00A93A19">
      <w:pPr>
        <w:spacing w:before="120" w:after="240" w:line="220" w:lineRule="atLeast"/>
        <w:jc w:val="both"/>
        <w:rPr>
          <w:rFonts w:asciiTheme="minorHAnsi" w:hAnsiTheme="minorHAnsi" w:cstheme="minorHAnsi"/>
          <w:color w:val="000000" w:themeColor="text1"/>
          <w:sz w:val="22"/>
          <w:szCs w:val="22"/>
        </w:rPr>
      </w:pPr>
      <w:r w:rsidRPr="0078571D">
        <w:rPr>
          <w:rFonts w:asciiTheme="minorHAnsi" w:hAnsiTheme="minorHAnsi" w:cstheme="minorHAnsi"/>
          <w:color w:val="000000" w:themeColor="text1"/>
          <w:sz w:val="22"/>
          <w:szCs w:val="22"/>
        </w:rPr>
        <w:t>In reviewing the responses to the November 2013 Consultation Paper and in subsequent research and discussion the ACCC has noted a number of issues relating to the overlapping system of regulation.</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Duplication/Efficacy</w:t>
      </w:r>
      <w:r w:rsidRPr="006F225E">
        <w:rPr>
          <w:rFonts w:asciiTheme="minorHAnsi" w:eastAsia="Calibri" w:hAnsiTheme="minorHAnsi" w:cstheme="minorHAnsi"/>
          <w:sz w:val="22"/>
          <w:szCs w:val="22"/>
        </w:rPr>
        <w:t xml:space="preserve"> – the safety standard </w:t>
      </w:r>
      <w:r w:rsidR="0078571D">
        <w:rPr>
          <w:rFonts w:asciiTheme="minorHAnsi" w:eastAsia="Calibri" w:hAnsiTheme="minorHAnsi" w:cstheme="minorHAnsi"/>
          <w:sz w:val="22"/>
          <w:szCs w:val="22"/>
        </w:rPr>
        <w:t xml:space="preserve">partially </w:t>
      </w:r>
      <w:r w:rsidRPr="006F225E">
        <w:rPr>
          <w:rFonts w:asciiTheme="minorHAnsi" w:eastAsia="Calibri" w:hAnsiTheme="minorHAnsi" w:cstheme="minorHAnsi"/>
          <w:sz w:val="22"/>
          <w:szCs w:val="22"/>
        </w:rPr>
        <w:t>duplicates with fewer requirements the provisions of the road safety (or ‘use’) laws</w:t>
      </w:r>
      <w:r w:rsidR="001D2739">
        <w:rPr>
          <w:rFonts w:asciiTheme="minorHAnsi" w:eastAsia="Calibri" w:hAnsiTheme="minorHAnsi" w:cstheme="minorHAnsi"/>
          <w:sz w:val="22"/>
          <w:szCs w:val="22"/>
        </w:rPr>
        <w:t xml:space="preserve"> using requirements from</w:t>
      </w:r>
      <w:r w:rsidRPr="006F225E">
        <w:rPr>
          <w:rFonts w:asciiTheme="minorHAnsi" w:eastAsia="Calibri" w:hAnsiTheme="minorHAnsi" w:cstheme="minorHAnsi"/>
          <w:sz w:val="22"/>
          <w:szCs w:val="22"/>
        </w:rPr>
        <w:t xml:space="preserve"> AS/NZS 1754</w:t>
      </w:r>
      <w:r w:rsidR="00EE7CA8" w:rsidRPr="006F225E">
        <w:rPr>
          <w:rFonts w:asciiTheme="minorHAnsi" w:eastAsia="Calibri" w:hAnsiTheme="minorHAnsi" w:cstheme="minorHAnsi"/>
          <w:sz w:val="22"/>
          <w:szCs w:val="22"/>
        </w:rPr>
        <w:t>. R</w:t>
      </w:r>
      <w:r w:rsidRPr="006F225E">
        <w:rPr>
          <w:rFonts w:asciiTheme="minorHAnsi" w:eastAsia="Calibri" w:hAnsiTheme="minorHAnsi" w:cstheme="minorHAnsi"/>
          <w:sz w:val="22"/>
          <w:szCs w:val="22"/>
        </w:rPr>
        <w:t xml:space="preserve">oad safety ‘use’ laws and the </w:t>
      </w:r>
      <w:r w:rsidR="00EE7CA8" w:rsidRPr="006F225E">
        <w:rPr>
          <w:rFonts w:asciiTheme="minorHAnsi" w:eastAsia="Calibri" w:hAnsiTheme="minorHAnsi" w:cstheme="minorHAnsi"/>
          <w:sz w:val="22"/>
          <w:szCs w:val="22"/>
        </w:rPr>
        <w:t xml:space="preserve">requirements of the </w:t>
      </w:r>
      <w:r w:rsidRPr="006F225E">
        <w:rPr>
          <w:rFonts w:asciiTheme="minorHAnsi" w:eastAsia="Calibri" w:hAnsiTheme="minorHAnsi" w:cstheme="minorHAnsi"/>
          <w:sz w:val="22"/>
          <w:szCs w:val="22"/>
        </w:rPr>
        <w:t xml:space="preserve">sole body presently registering compliance (SAI Global) </w:t>
      </w:r>
      <w:r w:rsidR="00EE7CA8" w:rsidRPr="006F225E">
        <w:rPr>
          <w:rFonts w:asciiTheme="minorHAnsi" w:eastAsia="Calibri" w:hAnsiTheme="minorHAnsi" w:cstheme="minorHAnsi"/>
          <w:sz w:val="22"/>
          <w:szCs w:val="22"/>
        </w:rPr>
        <w:t xml:space="preserve">ensure that </w:t>
      </w:r>
      <w:r w:rsidRPr="006F225E">
        <w:rPr>
          <w:rFonts w:asciiTheme="minorHAnsi" w:eastAsia="Calibri" w:hAnsiTheme="minorHAnsi" w:cstheme="minorHAnsi"/>
          <w:sz w:val="22"/>
          <w:szCs w:val="22"/>
        </w:rPr>
        <w:t xml:space="preserve">all products on the market comply with </w:t>
      </w:r>
      <w:r w:rsidR="00EE7CA8" w:rsidRPr="006F225E">
        <w:rPr>
          <w:rFonts w:asciiTheme="minorHAnsi" w:eastAsia="Calibri" w:hAnsiTheme="minorHAnsi" w:cstheme="minorHAnsi"/>
          <w:sz w:val="22"/>
          <w:szCs w:val="22"/>
        </w:rPr>
        <w:t xml:space="preserve">all requirements of </w:t>
      </w:r>
      <w:r w:rsidRPr="006F225E">
        <w:rPr>
          <w:rFonts w:asciiTheme="minorHAnsi" w:eastAsia="Calibri" w:hAnsiTheme="minorHAnsi" w:cstheme="minorHAnsi"/>
          <w:sz w:val="22"/>
          <w:szCs w:val="22"/>
        </w:rPr>
        <w:t>AS/NZS 1754</w:t>
      </w:r>
      <w:r w:rsidR="001D2739">
        <w:rPr>
          <w:rFonts w:asciiTheme="minorHAnsi" w:eastAsia="Calibri" w:hAnsiTheme="minorHAnsi" w:cstheme="minorHAnsi"/>
          <w:sz w:val="22"/>
          <w:szCs w:val="22"/>
        </w:rPr>
        <w:t>. N</w:t>
      </w:r>
      <w:r w:rsidR="00EE7CA8" w:rsidRPr="006F225E">
        <w:rPr>
          <w:rFonts w:asciiTheme="minorHAnsi" w:eastAsia="Calibri" w:hAnsiTheme="minorHAnsi" w:cstheme="minorHAnsi"/>
          <w:sz w:val="22"/>
          <w:szCs w:val="22"/>
        </w:rPr>
        <w:t xml:space="preserve">o child restraints are produced that only conform </w:t>
      </w:r>
      <w:r w:rsidR="00515996" w:rsidRPr="006F225E">
        <w:rPr>
          <w:rFonts w:asciiTheme="minorHAnsi" w:eastAsia="Calibri" w:hAnsiTheme="minorHAnsi" w:cstheme="minorHAnsi"/>
          <w:sz w:val="22"/>
          <w:szCs w:val="22"/>
        </w:rPr>
        <w:t>to</w:t>
      </w:r>
      <w:r w:rsidR="00EE7CA8" w:rsidRPr="006F225E">
        <w:rPr>
          <w:rFonts w:asciiTheme="minorHAnsi" w:eastAsia="Calibri" w:hAnsiTheme="minorHAnsi" w:cstheme="minorHAnsi"/>
          <w:sz w:val="22"/>
          <w:szCs w:val="22"/>
        </w:rPr>
        <w:t xml:space="preserve"> the safety standard. Th</w:t>
      </w:r>
      <w:r w:rsidRPr="006F225E">
        <w:rPr>
          <w:rFonts w:asciiTheme="minorHAnsi" w:eastAsia="Calibri" w:hAnsiTheme="minorHAnsi" w:cstheme="minorHAnsi"/>
          <w:sz w:val="22"/>
          <w:szCs w:val="22"/>
        </w:rPr>
        <w:t>ere is no prospect this situation will change.</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Contribution to safety/efficiency</w:t>
      </w:r>
      <w:r w:rsidRPr="006F225E">
        <w:rPr>
          <w:rFonts w:asciiTheme="minorHAnsi" w:eastAsia="Calibri" w:hAnsiTheme="minorHAnsi" w:cstheme="minorHAnsi"/>
          <w:sz w:val="22"/>
          <w:szCs w:val="22"/>
        </w:rPr>
        <w:t xml:space="preserve"> – it appears that the safety standard has not had a direct effect on child restraints since road </w:t>
      </w:r>
      <w:r w:rsidR="001D2739">
        <w:rPr>
          <w:rFonts w:asciiTheme="minorHAnsi" w:eastAsia="Calibri" w:hAnsiTheme="minorHAnsi" w:cstheme="minorHAnsi"/>
          <w:sz w:val="22"/>
          <w:szCs w:val="22"/>
        </w:rPr>
        <w:t>regulations</w:t>
      </w:r>
      <w:r w:rsidRPr="006F225E">
        <w:rPr>
          <w:rFonts w:asciiTheme="minorHAnsi" w:eastAsia="Calibri" w:hAnsiTheme="minorHAnsi" w:cstheme="minorHAnsi"/>
          <w:sz w:val="22"/>
          <w:szCs w:val="22"/>
        </w:rPr>
        <w:t xml:space="preserve"> requir</w:t>
      </w:r>
      <w:r w:rsidR="001D2739">
        <w:rPr>
          <w:rFonts w:asciiTheme="minorHAnsi" w:eastAsia="Calibri" w:hAnsiTheme="minorHAnsi" w:cstheme="minorHAnsi"/>
          <w:sz w:val="22"/>
          <w:szCs w:val="22"/>
        </w:rPr>
        <w:t>ed</w:t>
      </w:r>
      <w:r w:rsidRPr="006F225E">
        <w:rPr>
          <w:rFonts w:asciiTheme="minorHAnsi" w:eastAsia="Calibri" w:hAnsiTheme="minorHAnsi" w:cstheme="minorHAnsi"/>
          <w:sz w:val="22"/>
          <w:szCs w:val="22"/>
        </w:rPr>
        <w:t xml:space="preserve"> </w:t>
      </w:r>
      <w:r w:rsidR="001D2739">
        <w:rPr>
          <w:rFonts w:asciiTheme="minorHAnsi" w:eastAsia="Calibri" w:hAnsiTheme="minorHAnsi" w:cstheme="minorHAnsi"/>
          <w:sz w:val="22"/>
          <w:szCs w:val="22"/>
        </w:rPr>
        <w:t xml:space="preserve">full </w:t>
      </w:r>
      <w:r w:rsidRPr="006F225E">
        <w:rPr>
          <w:rFonts w:asciiTheme="minorHAnsi" w:eastAsia="Calibri" w:hAnsiTheme="minorHAnsi" w:cstheme="minorHAnsi"/>
          <w:sz w:val="22"/>
          <w:szCs w:val="22"/>
        </w:rPr>
        <w:t>compliance with AS/NZS 1754. For at least ten years (from 1978) the safety standard</w:t>
      </w:r>
      <w:r w:rsidR="001D2739">
        <w:rPr>
          <w:rFonts w:asciiTheme="minorHAnsi" w:eastAsia="Calibri" w:hAnsiTheme="minorHAnsi" w:cstheme="minorHAnsi"/>
          <w:sz w:val="22"/>
          <w:szCs w:val="22"/>
        </w:rPr>
        <w:t xml:space="preserve"> was</w:t>
      </w:r>
      <w:r w:rsidRPr="006F225E">
        <w:rPr>
          <w:rFonts w:asciiTheme="minorHAnsi" w:eastAsia="Calibri" w:hAnsiTheme="minorHAnsi" w:cstheme="minorHAnsi"/>
          <w:sz w:val="22"/>
          <w:szCs w:val="22"/>
        </w:rPr>
        <w:t xml:space="preserve"> ‘reasonably necessary to prevent injury’ as the only regulation on performance requirements for child restraints. States and Territories have had nationally consistent requirements to use AS/NZS 1754 compliant restraints for at least 20 years. All State and Territory road safety ‘use’ laws require full compliance with AS/NZS 1754 as a minimum with one State (South Australia) requiring certification to AS/NZS 1754.</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Actual/Potential mismatch in safety standard/use requirements</w:t>
      </w:r>
      <w:r w:rsidRPr="006F225E">
        <w:rPr>
          <w:rFonts w:asciiTheme="minorHAnsi" w:eastAsia="Calibri" w:hAnsiTheme="minorHAnsi" w:cstheme="minorHAnsi"/>
          <w:sz w:val="22"/>
          <w:szCs w:val="22"/>
        </w:rPr>
        <w:t xml:space="preserve"> – road authorities and safety organisations express anxiety over actual and or perceived differences between the safety standard and AS/NZS</w:t>
      </w:r>
      <w:r w:rsidR="001D2739">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 xml:space="preserve">1754 on the </w:t>
      </w:r>
      <w:r w:rsidR="00202289">
        <w:rPr>
          <w:rFonts w:asciiTheme="minorHAnsi" w:eastAsia="Calibri" w:hAnsiTheme="minorHAnsi" w:cstheme="minorHAnsi"/>
          <w:sz w:val="22"/>
          <w:szCs w:val="22"/>
        </w:rPr>
        <w:t xml:space="preserve">basis </w:t>
      </w:r>
      <w:r w:rsidRPr="006F225E">
        <w:rPr>
          <w:rFonts w:asciiTheme="minorHAnsi" w:eastAsia="Calibri" w:hAnsiTheme="minorHAnsi" w:cstheme="minorHAnsi"/>
          <w:sz w:val="22"/>
          <w:szCs w:val="22"/>
        </w:rPr>
        <w:t>of their potential to adversely affect road safety outcomes. Specifically they are concerned that restraints which may be non-compliant with AS/NZS</w:t>
      </w:r>
      <w:r w:rsidR="001D2739">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1754 will be sold</w:t>
      </w:r>
      <w:r w:rsidR="000A3E7C">
        <w:rPr>
          <w:rFonts w:asciiTheme="minorHAnsi" w:eastAsia="Calibri" w:hAnsiTheme="minorHAnsi" w:cstheme="minorHAnsi"/>
          <w:sz w:val="22"/>
          <w:szCs w:val="22"/>
        </w:rPr>
        <w:t xml:space="preserve"> and that</w:t>
      </w:r>
      <w:r w:rsidRPr="006F225E">
        <w:rPr>
          <w:rFonts w:asciiTheme="minorHAnsi" w:eastAsia="Calibri" w:hAnsiTheme="minorHAnsi" w:cstheme="minorHAnsi"/>
          <w:sz w:val="22"/>
          <w:szCs w:val="22"/>
        </w:rPr>
        <w:t xml:space="preserve"> consumers </w:t>
      </w:r>
      <w:r w:rsidR="00EE7CA8" w:rsidRPr="006F225E">
        <w:rPr>
          <w:rFonts w:asciiTheme="minorHAnsi" w:eastAsia="Calibri" w:hAnsiTheme="minorHAnsi" w:cstheme="minorHAnsi"/>
          <w:sz w:val="22"/>
          <w:szCs w:val="22"/>
        </w:rPr>
        <w:t xml:space="preserve">are or </w:t>
      </w:r>
      <w:r w:rsidRPr="006F225E">
        <w:rPr>
          <w:rFonts w:asciiTheme="minorHAnsi" w:eastAsia="Calibri" w:hAnsiTheme="minorHAnsi" w:cstheme="minorHAnsi"/>
          <w:sz w:val="22"/>
          <w:szCs w:val="22"/>
        </w:rPr>
        <w:t>will be confused.</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Confusion – with two different types of regulation by two safety related authorities/regimes</w:t>
      </w:r>
      <w:r w:rsidRPr="006F225E">
        <w:rPr>
          <w:rFonts w:asciiTheme="minorHAnsi" w:eastAsia="Calibri" w:hAnsiTheme="minorHAnsi" w:cstheme="minorHAnsi"/>
          <w:sz w:val="22"/>
          <w:szCs w:val="22"/>
        </w:rPr>
        <w:t xml:space="preserve"> – any differences between the safety standard and the road safety use laws are difficult for non-experts to understand both in principle and in detail. Having different requirements from the two areas of authority (those regulating supply and those regulating use) gives rise to concern of consumer confusion. It is argued that the user laws are simple: “use an Australian Standard restraint”</w:t>
      </w:r>
      <w:r w:rsidR="000A3E7C">
        <w:rPr>
          <w:rFonts w:asciiTheme="minorHAnsi" w:eastAsia="Calibri" w:hAnsiTheme="minorHAnsi" w:cstheme="minorHAnsi"/>
          <w:sz w:val="22"/>
          <w:szCs w:val="22"/>
        </w:rPr>
        <w:t>.</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 xml:space="preserve">Adjustments are incremental and safety improvements hard to quantify: </w:t>
      </w:r>
      <w:r w:rsidRPr="006F225E">
        <w:rPr>
          <w:rFonts w:asciiTheme="minorHAnsi" w:eastAsia="Calibri" w:hAnsiTheme="minorHAnsi" w:cstheme="minorHAnsi"/>
          <w:sz w:val="22"/>
          <w:szCs w:val="22"/>
        </w:rPr>
        <w:t>The AS/NZS 1754 standard doubled in length between the 2010 and 2013 versions. The 2010 standard involved a substantial change, in moving to a height based system (</w:t>
      </w:r>
      <w:r w:rsidR="00340E0A">
        <w:rPr>
          <w:rFonts w:asciiTheme="minorHAnsi" w:eastAsia="Calibri" w:hAnsiTheme="minorHAnsi" w:cstheme="minorHAnsi"/>
          <w:sz w:val="22"/>
          <w:szCs w:val="22"/>
        </w:rPr>
        <w:t>previously</w:t>
      </w:r>
      <w:r w:rsidRPr="006F225E">
        <w:rPr>
          <w:rFonts w:asciiTheme="minorHAnsi" w:eastAsia="Calibri" w:hAnsiTheme="minorHAnsi" w:cstheme="minorHAnsi"/>
          <w:sz w:val="22"/>
          <w:szCs w:val="22"/>
        </w:rPr>
        <w:t xml:space="preserve"> weight and age</w:t>
      </w:r>
      <w:r w:rsidR="00F86FD6">
        <w:rPr>
          <w:rFonts w:asciiTheme="minorHAnsi" w:eastAsia="Calibri" w:hAnsiTheme="minorHAnsi" w:cstheme="minorHAnsi"/>
          <w:sz w:val="22"/>
          <w:szCs w:val="22"/>
        </w:rPr>
        <w:t xml:space="preserve"> based</w:t>
      </w:r>
      <w:r w:rsidRPr="006F225E">
        <w:rPr>
          <w:rFonts w:asciiTheme="minorHAnsi" w:eastAsia="Calibri" w:hAnsiTheme="minorHAnsi" w:cstheme="minorHAnsi"/>
          <w:sz w:val="22"/>
          <w:szCs w:val="22"/>
        </w:rPr>
        <w:t xml:space="preserve">) and the 2013 </w:t>
      </w:r>
      <w:r w:rsidR="00EE7CA8" w:rsidRPr="006F225E">
        <w:rPr>
          <w:rFonts w:asciiTheme="minorHAnsi" w:eastAsia="Calibri" w:hAnsiTheme="minorHAnsi" w:cstheme="minorHAnsi"/>
          <w:sz w:val="22"/>
          <w:szCs w:val="22"/>
        </w:rPr>
        <w:t xml:space="preserve">version </w:t>
      </w:r>
      <w:r w:rsidRPr="006F225E">
        <w:rPr>
          <w:rFonts w:asciiTheme="minorHAnsi" w:eastAsia="Calibri" w:hAnsiTheme="minorHAnsi" w:cstheme="minorHAnsi"/>
          <w:sz w:val="22"/>
          <w:szCs w:val="22"/>
        </w:rPr>
        <w:t>introduced the notion that child restraints with ISOFIX features can be AS/NZS1754 compliant (and the rebound sled and batch testing). Many changes in AS/NZS</w:t>
      </w:r>
      <w:r w:rsidR="00EE7CA8"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1754 are</w:t>
      </w:r>
      <w:r w:rsidR="00EE7CA8" w:rsidRPr="006F225E">
        <w:rPr>
          <w:rFonts w:asciiTheme="minorHAnsi" w:eastAsia="Calibri" w:hAnsiTheme="minorHAnsi" w:cstheme="minorHAnsi"/>
          <w:sz w:val="22"/>
          <w:szCs w:val="22"/>
        </w:rPr>
        <w:t xml:space="preserve"> incremental and/or small</w:t>
      </w:r>
      <w:r w:rsidRPr="006F225E">
        <w:rPr>
          <w:rFonts w:asciiTheme="minorHAnsi" w:eastAsia="Calibri" w:hAnsiTheme="minorHAnsi" w:cstheme="minorHAnsi"/>
          <w:sz w:val="22"/>
          <w:szCs w:val="22"/>
        </w:rPr>
        <w:t xml:space="preserve"> – </w:t>
      </w:r>
      <w:r w:rsidR="00EE7CA8" w:rsidRPr="006F225E">
        <w:rPr>
          <w:rFonts w:asciiTheme="minorHAnsi" w:eastAsia="Calibri" w:hAnsiTheme="minorHAnsi" w:cstheme="minorHAnsi"/>
          <w:sz w:val="22"/>
          <w:szCs w:val="22"/>
        </w:rPr>
        <w:t xml:space="preserve">for example </w:t>
      </w:r>
      <w:r w:rsidRPr="006F225E">
        <w:rPr>
          <w:rFonts w:asciiTheme="minorHAnsi" w:eastAsia="Calibri" w:hAnsiTheme="minorHAnsi" w:cstheme="minorHAnsi"/>
          <w:sz w:val="22"/>
          <w:szCs w:val="22"/>
        </w:rPr>
        <w:t xml:space="preserve">changes in the weight of a hyphen, </w:t>
      </w:r>
      <w:r w:rsidR="00EE7CA8" w:rsidRPr="006F225E">
        <w:rPr>
          <w:rFonts w:asciiTheme="minorHAnsi" w:eastAsia="Calibri" w:hAnsiTheme="minorHAnsi" w:cstheme="minorHAnsi"/>
          <w:sz w:val="22"/>
          <w:szCs w:val="22"/>
        </w:rPr>
        <w:t xml:space="preserve">in a font size or in the style of text </w:t>
      </w:r>
      <w:r w:rsidRPr="006F225E">
        <w:rPr>
          <w:rFonts w:asciiTheme="minorHAnsi" w:eastAsia="Calibri" w:hAnsiTheme="minorHAnsi" w:cstheme="minorHAnsi"/>
          <w:sz w:val="22"/>
          <w:szCs w:val="22"/>
        </w:rPr>
        <w:t>from justified to centred format</w:t>
      </w:r>
      <w:r w:rsidR="00EE7CA8" w:rsidRPr="006F225E">
        <w:rPr>
          <w:rFonts w:asciiTheme="minorHAnsi" w:eastAsia="Calibri" w:hAnsiTheme="minorHAnsi" w:cstheme="minorHAnsi"/>
          <w:sz w:val="22"/>
          <w:szCs w:val="22"/>
        </w:rPr>
        <w:t xml:space="preserve">. As such ‘safety improvements’, which </w:t>
      </w:r>
      <w:r w:rsidR="00202289">
        <w:rPr>
          <w:rFonts w:asciiTheme="minorHAnsi" w:eastAsia="Calibri" w:hAnsiTheme="minorHAnsi" w:cstheme="minorHAnsi"/>
          <w:sz w:val="22"/>
          <w:szCs w:val="22"/>
        </w:rPr>
        <w:t>form</w:t>
      </w:r>
      <w:r w:rsidR="00EE7CA8" w:rsidRPr="006F225E">
        <w:rPr>
          <w:rFonts w:asciiTheme="minorHAnsi" w:eastAsia="Calibri" w:hAnsiTheme="minorHAnsi" w:cstheme="minorHAnsi"/>
          <w:sz w:val="22"/>
          <w:szCs w:val="22"/>
        </w:rPr>
        <w:t xml:space="preserve"> the basis of power to regulate under the </w:t>
      </w:r>
      <w:r w:rsidR="006F225E">
        <w:rPr>
          <w:rFonts w:asciiTheme="minorHAnsi" w:eastAsia="Calibri" w:hAnsiTheme="minorHAnsi" w:cstheme="minorHAnsi"/>
          <w:sz w:val="22"/>
          <w:szCs w:val="22"/>
        </w:rPr>
        <w:t>ACL</w:t>
      </w:r>
      <w:r w:rsidR="008F01A0" w:rsidRPr="006F225E">
        <w:rPr>
          <w:rFonts w:asciiTheme="minorHAnsi" w:eastAsia="Calibri" w:hAnsiTheme="minorHAnsi" w:cstheme="minorHAnsi"/>
          <w:sz w:val="22"/>
          <w:szCs w:val="22"/>
        </w:rPr>
        <w:t xml:space="preserve"> and underpin </w:t>
      </w:r>
      <w:r w:rsidR="00EE7CA8" w:rsidRPr="006F225E">
        <w:rPr>
          <w:rFonts w:asciiTheme="minorHAnsi" w:eastAsia="Calibri" w:hAnsiTheme="minorHAnsi" w:cstheme="minorHAnsi"/>
          <w:sz w:val="22"/>
          <w:szCs w:val="22"/>
        </w:rPr>
        <w:t xml:space="preserve">adjustments in </w:t>
      </w:r>
      <w:r w:rsidR="008F01A0" w:rsidRPr="006F225E">
        <w:rPr>
          <w:rFonts w:asciiTheme="minorHAnsi" w:eastAsia="Calibri" w:hAnsiTheme="minorHAnsi" w:cstheme="minorHAnsi"/>
          <w:sz w:val="22"/>
          <w:szCs w:val="22"/>
        </w:rPr>
        <w:t>the safety standard</w:t>
      </w:r>
      <w:r w:rsidR="000A3E7C">
        <w:rPr>
          <w:rFonts w:asciiTheme="minorHAnsi" w:eastAsia="Calibri" w:hAnsiTheme="minorHAnsi" w:cstheme="minorHAnsi"/>
          <w:sz w:val="22"/>
          <w:szCs w:val="22"/>
        </w:rPr>
        <w:t>,</w:t>
      </w:r>
      <w:r w:rsidR="008F01A0"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can be difficult to identify and measure.</w:t>
      </w:r>
    </w:p>
    <w:p w:rsidR="0053591F" w:rsidRPr="000A3E7C" w:rsidRDefault="0053591F" w:rsidP="000A3E7C">
      <w:pPr>
        <w:spacing w:before="120" w:after="240" w:line="220" w:lineRule="atLeast"/>
        <w:ind w:left="426"/>
        <w:jc w:val="both"/>
        <w:rPr>
          <w:rFonts w:asciiTheme="minorHAnsi" w:eastAsia="Calibri" w:hAnsiTheme="minorHAnsi" w:cstheme="minorHAnsi"/>
          <w:sz w:val="18"/>
          <w:szCs w:val="18"/>
        </w:rPr>
      </w:pPr>
      <w:r w:rsidRPr="000A3E7C">
        <w:rPr>
          <w:rFonts w:asciiTheme="minorHAnsi" w:eastAsia="Calibri" w:hAnsiTheme="minorHAnsi" w:cstheme="minorHAnsi"/>
          <w:i/>
          <w:sz w:val="18"/>
          <w:szCs w:val="18"/>
        </w:rPr>
        <w:t xml:space="preserve">ISOFIX (under various names) is a standard for attaching child restraints to vehicles without using seat belts. ISOFIX anchorage points are now regularly </w:t>
      </w:r>
      <w:r w:rsidR="000A3E7C">
        <w:rPr>
          <w:rFonts w:asciiTheme="minorHAnsi" w:eastAsia="Calibri" w:hAnsiTheme="minorHAnsi" w:cstheme="minorHAnsi"/>
          <w:i/>
          <w:sz w:val="18"/>
          <w:szCs w:val="18"/>
        </w:rPr>
        <w:t xml:space="preserve">supplied </w:t>
      </w:r>
      <w:r w:rsidRPr="000A3E7C">
        <w:rPr>
          <w:rFonts w:asciiTheme="minorHAnsi" w:eastAsia="Calibri" w:hAnsiTheme="minorHAnsi" w:cstheme="minorHAnsi"/>
          <w:i/>
          <w:sz w:val="18"/>
          <w:szCs w:val="18"/>
        </w:rPr>
        <w:t xml:space="preserve">in Australian vehicles, e.g. GM Holden advise these are now standard fittings, and in imported vehicles. The system has been in development since 1997. The 2013 revision is the first time ISOFIX features have appeared in AS/NZS 1754. </w:t>
      </w:r>
      <w:r w:rsidRPr="000A3E7C">
        <w:rPr>
          <w:rFonts w:asciiTheme="minorHAnsi" w:eastAsia="Calibri" w:hAnsiTheme="minorHAnsi" w:cstheme="minorHAnsi"/>
          <w:sz w:val="18"/>
          <w:szCs w:val="18"/>
        </w:rPr>
        <w:t xml:space="preserve"> </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lastRenderedPageBreak/>
        <w:t>Specific regulatory difficulty mandating some provisions of voluntary standard</w:t>
      </w:r>
      <w:r w:rsidRPr="006F225E">
        <w:rPr>
          <w:rFonts w:asciiTheme="minorHAnsi" w:eastAsia="Calibri" w:hAnsiTheme="minorHAnsi" w:cstheme="minorHAnsi"/>
          <w:sz w:val="22"/>
          <w:szCs w:val="22"/>
        </w:rPr>
        <w:t xml:space="preserve"> – the 2013 version of AS/NZS</w:t>
      </w:r>
      <w:r w:rsidR="00562CD4"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 xml:space="preserve">1754 includes two provisions that are considered by stakeholders to be of great significance but which are considered difficult to incorporate into a </w:t>
      </w:r>
      <w:r w:rsidR="00562CD4" w:rsidRPr="006F225E">
        <w:rPr>
          <w:rFonts w:asciiTheme="minorHAnsi" w:eastAsia="Calibri" w:hAnsiTheme="minorHAnsi" w:cstheme="minorHAnsi"/>
          <w:sz w:val="22"/>
          <w:szCs w:val="22"/>
        </w:rPr>
        <w:t xml:space="preserve">safety </w:t>
      </w:r>
      <w:r w:rsidRPr="006F225E">
        <w:rPr>
          <w:rFonts w:asciiTheme="minorHAnsi" w:eastAsia="Calibri" w:hAnsiTheme="minorHAnsi" w:cstheme="minorHAnsi"/>
          <w:sz w:val="22"/>
          <w:szCs w:val="22"/>
        </w:rPr>
        <w:t xml:space="preserve">standard.  These are the specification of a test mechanism (rebound sled) and a regime for regular product testing (batch testing). The </w:t>
      </w:r>
      <w:r w:rsidR="000A3E7C">
        <w:rPr>
          <w:rFonts w:asciiTheme="minorHAnsi" w:eastAsia="Calibri" w:hAnsiTheme="minorHAnsi" w:cstheme="minorHAnsi"/>
          <w:sz w:val="22"/>
          <w:szCs w:val="22"/>
        </w:rPr>
        <w:t xml:space="preserve">proposal in the November 2013 </w:t>
      </w:r>
      <w:r w:rsidRPr="006F225E">
        <w:rPr>
          <w:rFonts w:asciiTheme="minorHAnsi" w:eastAsia="Calibri" w:hAnsiTheme="minorHAnsi" w:cstheme="minorHAnsi"/>
          <w:sz w:val="22"/>
          <w:szCs w:val="22"/>
        </w:rPr>
        <w:t>Consultation Paper to exclude these from a remade safety standard elicited significant concern and adverse comment.</w:t>
      </w:r>
    </w:p>
    <w:p w:rsidR="0053591F" w:rsidRPr="006F225E"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Mandatory standard process brings delays, duplicate processes, uncertainty in timing</w:t>
      </w:r>
      <w:r w:rsidRPr="006F225E">
        <w:rPr>
          <w:rFonts w:asciiTheme="minorHAnsi" w:eastAsia="Calibri" w:hAnsiTheme="minorHAnsi" w:cstheme="minorHAnsi"/>
          <w:sz w:val="22"/>
          <w:szCs w:val="22"/>
        </w:rPr>
        <w:t xml:space="preserve">: once </w:t>
      </w:r>
      <w:r w:rsidR="00562CD4" w:rsidRPr="006F225E">
        <w:rPr>
          <w:rFonts w:asciiTheme="minorHAnsi" w:eastAsia="Calibri" w:hAnsiTheme="minorHAnsi" w:cstheme="minorHAnsi"/>
          <w:sz w:val="22"/>
          <w:szCs w:val="22"/>
        </w:rPr>
        <w:t xml:space="preserve">a </w:t>
      </w:r>
      <w:r w:rsidR="00132E48">
        <w:rPr>
          <w:rFonts w:asciiTheme="minorHAnsi" w:eastAsia="Calibri" w:hAnsiTheme="minorHAnsi" w:cstheme="minorHAnsi"/>
          <w:sz w:val="22"/>
          <w:szCs w:val="22"/>
        </w:rPr>
        <w:t>revised</w:t>
      </w:r>
      <w:r w:rsidR="00562CD4" w:rsidRPr="006F225E">
        <w:rPr>
          <w:rFonts w:asciiTheme="minorHAnsi" w:eastAsia="Calibri" w:hAnsiTheme="minorHAnsi" w:cstheme="minorHAnsi"/>
          <w:sz w:val="22"/>
          <w:szCs w:val="22"/>
        </w:rPr>
        <w:t xml:space="preserve"> version of AS/NZS 1754</w:t>
      </w:r>
      <w:r w:rsidRPr="006F225E">
        <w:rPr>
          <w:rFonts w:asciiTheme="minorHAnsi" w:eastAsia="Calibri" w:hAnsiTheme="minorHAnsi" w:cstheme="minorHAnsi"/>
          <w:sz w:val="22"/>
          <w:szCs w:val="22"/>
        </w:rPr>
        <w:t xml:space="preserve"> is published the ACCC </w:t>
      </w:r>
      <w:r w:rsidR="008F01A0" w:rsidRPr="006F225E">
        <w:rPr>
          <w:rFonts w:asciiTheme="minorHAnsi" w:eastAsia="Calibri" w:hAnsiTheme="minorHAnsi" w:cstheme="minorHAnsi"/>
          <w:sz w:val="22"/>
          <w:szCs w:val="22"/>
        </w:rPr>
        <w:t xml:space="preserve">practice has been to </w:t>
      </w:r>
      <w:r w:rsidRPr="006F225E">
        <w:rPr>
          <w:rFonts w:asciiTheme="minorHAnsi" w:eastAsia="Calibri" w:hAnsiTheme="minorHAnsi" w:cstheme="minorHAnsi"/>
          <w:sz w:val="22"/>
          <w:szCs w:val="22"/>
        </w:rPr>
        <w:t>review</w:t>
      </w:r>
      <w:r w:rsidR="008F01A0" w:rsidRPr="006F225E">
        <w:rPr>
          <w:rFonts w:asciiTheme="minorHAnsi" w:eastAsia="Calibri" w:hAnsiTheme="minorHAnsi" w:cstheme="minorHAnsi"/>
          <w:sz w:val="22"/>
          <w:szCs w:val="22"/>
        </w:rPr>
        <w:t xml:space="preserve"> the changes and then conduct a public consultation </w:t>
      </w:r>
      <w:r w:rsidRPr="006F225E">
        <w:rPr>
          <w:rFonts w:asciiTheme="minorHAnsi" w:eastAsia="Calibri" w:hAnsiTheme="minorHAnsi" w:cstheme="minorHAnsi"/>
          <w:sz w:val="22"/>
          <w:szCs w:val="22"/>
        </w:rPr>
        <w:t xml:space="preserve">on </w:t>
      </w:r>
      <w:r w:rsidR="008F01A0" w:rsidRPr="006F225E">
        <w:rPr>
          <w:rFonts w:asciiTheme="minorHAnsi" w:eastAsia="Calibri" w:hAnsiTheme="minorHAnsi" w:cstheme="minorHAnsi"/>
          <w:sz w:val="22"/>
          <w:szCs w:val="22"/>
        </w:rPr>
        <w:t xml:space="preserve">possible changes to </w:t>
      </w:r>
      <w:r w:rsidRPr="006F225E">
        <w:rPr>
          <w:rFonts w:asciiTheme="minorHAnsi" w:eastAsia="Calibri" w:hAnsiTheme="minorHAnsi" w:cstheme="minorHAnsi"/>
          <w:sz w:val="22"/>
          <w:szCs w:val="22"/>
        </w:rPr>
        <w:t>the safety standard. As most stakeholders contribute to the development of AS/NZS</w:t>
      </w:r>
      <w:r w:rsidR="00562CD4"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 xml:space="preserve">1754 or comment on the draft standard the process for the </w:t>
      </w:r>
      <w:r w:rsidR="000A3E7C">
        <w:rPr>
          <w:rFonts w:asciiTheme="minorHAnsi" w:eastAsia="Calibri" w:hAnsiTheme="minorHAnsi" w:cstheme="minorHAnsi"/>
          <w:sz w:val="22"/>
          <w:szCs w:val="22"/>
        </w:rPr>
        <w:t>safety</w:t>
      </w:r>
      <w:r w:rsidRPr="006F225E">
        <w:rPr>
          <w:rFonts w:asciiTheme="minorHAnsi" w:eastAsia="Calibri" w:hAnsiTheme="minorHAnsi" w:cstheme="minorHAnsi"/>
          <w:sz w:val="22"/>
          <w:szCs w:val="22"/>
        </w:rPr>
        <w:t xml:space="preserve"> standard partly duplicates the comment process</w:t>
      </w:r>
      <w:r w:rsidR="000A3E7C">
        <w:rPr>
          <w:rFonts w:asciiTheme="minorHAnsi" w:eastAsia="Calibri" w:hAnsiTheme="minorHAnsi" w:cstheme="minorHAnsi"/>
          <w:sz w:val="22"/>
          <w:szCs w:val="22"/>
        </w:rPr>
        <w:t xml:space="preserve"> for AS/NZS 1754</w:t>
      </w:r>
      <w:r w:rsidRPr="006F225E">
        <w:rPr>
          <w:rFonts w:asciiTheme="minorHAnsi" w:eastAsia="Calibri" w:hAnsiTheme="minorHAnsi" w:cstheme="minorHAnsi"/>
          <w:sz w:val="22"/>
          <w:szCs w:val="22"/>
        </w:rPr>
        <w:t xml:space="preserve">. </w:t>
      </w:r>
      <w:r w:rsidR="008F01A0" w:rsidRPr="006F225E">
        <w:rPr>
          <w:rFonts w:asciiTheme="minorHAnsi" w:eastAsia="Calibri" w:hAnsiTheme="minorHAnsi" w:cstheme="minorHAnsi"/>
          <w:sz w:val="22"/>
          <w:szCs w:val="22"/>
        </w:rPr>
        <w:t>W</w:t>
      </w:r>
      <w:r w:rsidRPr="006F225E">
        <w:rPr>
          <w:rFonts w:asciiTheme="minorHAnsi" w:eastAsia="Calibri" w:hAnsiTheme="minorHAnsi" w:cstheme="minorHAnsi"/>
          <w:sz w:val="22"/>
          <w:szCs w:val="22"/>
        </w:rPr>
        <w:t>ith best endeavours, there is usually about a year between the publication of the latest version of AS/NZS</w:t>
      </w:r>
      <w:r w:rsidR="00562CD4"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1754 and registration of the revised safety standard. Industry indicates that in the absence of the safety standard process they would immediately start manufacturing to the revised AS/NZS</w:t>
      </w:r>
      <w:r w:rsidR="00562CD4"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1754 upon publication. The current revision of the safety standard is causing uncertainty for industry because of consumer demand for restraints with ISOFIX features which the new version of AS/NZS</w:t>
      </w:r>
      <w:r w:rsidR="00562CD4"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1754 includes for the first time.  This issue is made even more complex because previous versions of AS/NZS</w:t>
      </w:r>
      <w:r w:rsidR="00562CD4" w:rsidRPr="006F225E">
        <w:rPr>
          <w:rFonts w:asciiTheme="minorHAnsi" w:eastAsia="Calibri" w:hAnsiTheme="minorHAnsi" w:cstheme="minorHAnsi"/>
          <w:sz w:val="22"/>
          <w:szCs w:val="22"/>
        </w:rPr>
        <w:t xml:space="preserve"> </w:t>
      </w:r>
      <w:r w:rsidRPr="006F225E">
        <w:rPr>
          <w:rFonts w:asciiTheme="minorHAnsi" w:eastAsia="Calibri" w:hAnsiTheme="minorHAnsi" w:cstheme="minorHAnsi"/>
          <w:sz w:val="22"/>
          <w:szCs w:val="22"/>
        </w:rPr>
        <w:t xml:space="preserve">1754 were silent on child restraints with ISOFIX features and there was an assumption, perhaps misplaced, that child restraints with ISOFIX features could not meet the requirements of </w:t>
      </w:r>
      <w:r w:rsidR="00562CD4" w:rsidRPr="006F225E">
        <w:rPr>
          <w:rFonts w:asciiTheme="minorHAnsi" w:eastAsia="Calibri" w:hAnsiTheme="minorHAnsi" w:cstheme="minorHAnsi"/>
          <w:sz w:val="22"/>
          <w:szCs w:val="22"/>
        </w:rPr>
        <w:t xml:space="preserve">earlier versions of </w:t>
      </w:r>
      <w:r w:rsidRPr="006F225E">
        <w:rPr>
          <w:rFonts w:asciiTheme="minorHAnsi" w:eastAsia="Calibri" w:hAnsiTheme="minorHAnsi" w:cstheme="minorHAnsi"/>
          <w:sz w:val="22"/>
          <w:szCs w:val="22"/>
        </w:rPr>
        <w:t>AS/NZS 1754 or the safety standard.</w:t>
      </w:r>
    </w:p>
    <w:p w:rsidR="0053591F" w:rsidRPr="006F225E" w:rsidRDefault="008F01A0"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 xml:space="preserve">The </w:t>
      </w:r>
      <w:r w:rsidR="00562CD4" w:rsidRPr="006F225E">
        <w:rPr>
          <w:rFonts w:asciiTheme="minorHAnsi" w:eastAsia="Calibri" w:hAnsiTheme="minorHAnsi" w:cstheme="minorHAnsi"/>
          <w:b/>
          <w:sz w:val="22"/>
          <w:szCs w:val="22"/>
        </w:rPr>
        <w:t>s</w:t>
      </w:r>
      <w:r w:rsidRPr="006F225E">
        <w:rPr>
          <w:rFonts w:asciiTheme="minorHAnsi" w:eastAsia="Calibri" w:hAnsiTheme="minorHAnsi" w:cstheme="minorHAnsi"/>
          <w:b/>
          <w:sz w:val="22"/>
          <w:szCs w:val="22"/>
        </w:rPr>
        <w:t>afety standard has never been used to prosecute suppliers and the</w:t>
      </w:r>
      <w:r w:rsidR="0053591F" w:rsidRPr="006F225E">
        <w:rPr>
          <w:rFonts w:asciiTheme="minorHAnsi" w:eastAsia="Calibri" w:hAnsiTheme="minorHAnsi" w:cstheme="minorHAnsi"/>
          <w:b/>
          <w:sz w:val="22"/>
          <w:szCs w:val="22"/>
        </w:rPr>
        <w:t xml:space="preserve">re is </w:t>
      </w:r>
      <w:r w:rsidRPr="006F225E">
        <w:rPr>
          <w:rFonts w:asciiTheme="minorHAnsi" w:eastAsia="Calibri" w:hAnsiTheme="minorHAnsi" w:cstheme="minorHAnsi"/>
          <w:b/>
          <w:sz w:val="22"/>
          <w:szCs w:val="22"/>
        </w:rPr>
        <w:t>minimal</w:t>
      </w:r>
      <w:r w:rsidR="0053591F" w:rsidRPr="006F225E">
        <w:rPr>
          <w:rFonts w:asciiTheme="minorHAnsi" w:eastAsia="Calibri" w:hAnsiTheme="minorHAnsi" w:cstheme="minorHAnsi"/>
          <w:b/>
          <w:sz w:val="22"/>
          <w:szCs w:val="22"/>
        </w:rPr>
        <w:t xml:space="preserve"> concern over ‘unsafe’ products. </w:t>
      </w:r>
      <w:r w:rsidR="0053591F" w:rsidRPr="006F225E">
        <w:rPr>
          <w:rFonts w:asciiTheme="minorHAnsi" w:eastAsia="Calibri" w:hAnsiTheme="minorHAnsi" w:cstheme="minorHAnsi"/>
          <w:sz w:val="22"/>
          <w:szCs w:val="22"/>
        </w:rPr>
        <w:t>There is little or no safety concern with child restraints (the 2013 review identifies few safety concerns with child restraints)</w:t>
      </w:r>
      <w:r w:rsidRPr="006F225E">
        <w:rPr>
          <w:rFonts w:asciiTheme="minorHAnsi" w:eastAsia="Calibri" w:hAnsiTheme="minorHAnsi" w:cstheme="minorHAnsi"/>
          <w:sz w:val="22"/>
          <w:szCs w:val="22"/>
        </w:rPr>
        <w:t>.</w:t>
      </w:r>
      <w:r w:rsidR="0053591F" w:rsidRPr="006F225E">
        <w:rPr>
          <w:rFonts w:asciiTheme="minorHAnsi" w:eastAsia="Calibri" w:hAnsiTheme="minorHAnsi" w:cstheme="minorHAnsi"/>
          <w:sz w:val="22"/>
          <w:szCs w:val="22"/>
        </w:rPr>
        <w:t xml:space="preserve"> In the Australian market there have been markedly fewer product recalls than in the US. There have been safety warning notices issued about online purchase and media alerts issued warning against importing restraints built to overseas standards</w:t>
      </w:r>
      <w:r w:rsidRPr="006F225E">
        <w:rPr>
          <w:rFonts w:asciiTheme="minorHAnsi" w:eastAsia="Calibri" w:hAnsiTheme="minorHAnsi" w:cstheme="minorHAnsi"/>
          <w:sz w:val="22"/>
          <w:szCs w:val="22"/>
        </w:rPr>
        <w:t>.</w:t>
      </w:r>
      <w:r w:rsidR="0053591F" w:rsidRPr="006F225E">
        <w:rPr>
          <w:rFonts w:asciiTheme="minorHAnsi" w:eastAsia="Calibri" w:hAnsiTheme="minorHAnsi" w:cstheme="minorHAnsi"/>
          <w:sz w:val="22"/>
          <w:szCs w:val="22"/>
        </w:rPr>
        <w:t xml:space="preserve"> Key stakeholders note that most discussion is about correct fitting and the only product issues are about quality assurance errors that have been identified by suppliers.</w:t>
      </w:r>
    </w:p>
    <w:p w:rsidR="0053591F" w:rsidRDefault="0053591F" w:rsidP="00A93A19">
      <w:pPr>
        <w:numPr>
          <w:ilvl w:val="0"/>
          <w:numId w:val="24"/>
        </w:numPr>
        <w:spacing w:before="120" w:after="240" w:line="220" w:lineRule="atLeast"/>
        <w:ind w:left="284" w:hanging="284"/>
        <w:jc w:val="both"/>
        <w:rPr>
          <w:rFonts w:asciiTheme="minorHAnsi" w:eastAsia="Calibri" w:hAnsiTheme="minorHAnsi" w:cstheme="minorHAnsi"/>
          <w:sz w:val="22"/>
          <w:szCs w:val="22"/>
        </w:rPr>
      </w:pPr>
      <w:r w:rsidRPr="006F225E">
        <w:rPr>
          <w:rFonts w:asciiTheme="minorHAnsi" w:eastAsia="Calibri" w:hAnsiTheme="minorHAnsi" w:cstheme="minorHAnsi"/>
          <w:b/>
          <w:sz w:val="22"/>
          <w:szCs w:val="22"/>
        </w:rPr>
        <w:t xml:space="preserve">Other tools </w:t>
      </w:r>
      <w:r w:rsidR="008F01A0" w:rsidRPr="006F225E">
        <w:rPr>
          <w:rFonts w:asciiTheme="minorHAnsi" w:eastAsia="Calibri" w:hAnsiTheme="minorHAnsi" w:cstheme="minorHAnsi"/>
          <w:b/>
          <w:sz w:val="22"/>
          <w:szCs w:val="22"/>
        </w:rPr>
        <w:t xml:space="preserve">are available </w:t>
      </w:r>
      <w:r w:rsidRPr="006F225E">
        <w:rPr>
          <w:rFonts w:asciiTheme="minorHAnsi" w:eastAsia="Calibri" w:hAnsiTheme="minorHAnsi" w:cstheme="minorHAnsi"/>
          <w:b/>
          <w:sz w:val="22"/>
          <w:szCs w:val="22"/>
        </w:rPr>
        <w:t>to support safety.</w:t>
      </w:r>
      <w:r w:rsidRPr="006F225E">
        <w:rPr>
          <w:rFonts w:asciiTheme="minorHAnsi" w:eastAsia="Calibri" w:hAnsiTheme="minorHAnsi" w:cstheme="minorHAnsi"/>
          <w:sz w:val="22"/>
          <w:szCs w:val="22"/>
        </w:rPr>
        <w:t xml:space="preserve"> </w:t>
      </w:r>
      <w:r w:rsidR="008F01A0" w:rsidRPr="006F225E">
        <w:rPr>
          <w:rFonts w:asciiTheme="minorHAnsi" w:eastAsia="Calibri" w:hAnsiTheme="minorHAnsi" w:cstheme="minorHAnsi"/>
          <w:sz w:val="22"/>
          <w:szCs w:val="22"/>
        </w:rPr>
        <w:t xml:space="preserve">The ACCC </w:t>
      </w:r>
      <w:r w:rsidR="007E5185">
        <w:rPr>
          <w:rFonts w:asciiTheme="minorHAnsi" w:eastAsia="Calibri" w:hAnsiTheme="minorHAnsi" w:cstheme="minorHAnsi"/>
          <w:sz w:val="22"/>
          <w:szCs w:val="22"/>
        </w:rPr>
        <w:t xml:space="preserve">believes </w:t>
      </w:r>
      <w:r w:rsidR="008F01A0" w:rsidRPr="006F225E">
        <w:rPr>
          <w:rFonts w:asciiTheme="minorHAnsi" w:eastAsia="Calibri" w:hAnsiTheme="minorHAnsi" w:cstheme="minorHAnsi"/>
          <w:sz w:val="22"/>
          <w:szCs w:val="22"/>
        </w:rPr>
        <w:t>the recall and general consumer guarantee provisions of the ACL are sufficient to maintain the safety of child restraints</w:t>
      </w:r>
      <w:r w:rsidR="007E5185">
        <w:rPr>
          <w:rFonts w:asciiTheme="minorHAnsi" w:eastAsia="Calibri" w:hAnsiTheme="minorHAnsi" w:cstheme="minorHAnsi"/>
          <w:sz w:val="22"/>
          <w:szCs w:val="22"/>
        </w:rPr>
        <w:t xml:space="preserve"> (without the need for a safety standard)</w:t>
      </w:r>
      <w:r w:rsidR="008F01A0" w:rsidRPr="006F225E">
        <w:rPr>
          <w:rFonts w:asciiTheme="minorHAnsi" w:eastAsia="Calibri" w:hAnsiTheme="minorHAnsi" w:cstheme="minorHAnsi"/>
          <w:sz w:val="22"/>
          <w:szCs w:val="22"/>
        </w:rPr>
        <w:t>.</w:t>
      </w:r>
      <w:r w:rsidR="00424244" w:rsidRPr="006F225E">
        <w:rPr>
          <w:rFonts w:asciiTheme="minorHAnsi" w:eastAsia="Calibri" w:hAnsiTheme="minorHAnsi" w:cstheme="minorHAnsi"/>
          <w:sz w:val="22"/>
          <w:szCs w:val="22"/>
        </w:rPr>
        <w:t xml:space="preserve"> On the basis that </w:t>
      </w:r>
      <w:r w:rsidR="008F01A0" w:rsidRPr="006F225E">
        <w:rPr>
          <w:rFonts w:asciiTheme="minorHAnsi" w:eastAsia="Calibri" w:hAnsiTheme="minorHAnsi" w:cstheme="minorHAnsi"/>
          <w:sz w:val="22"/>
          <w:szCs w:val="22"/>
        </w:rPr>
        <w:t>a</w:t>
      </w:r>
      <w:r w:rsidRPr="006F225E">
        <w:rPr>
          <w:rFonts w:asciiTheme="minorHAnsi" w:eastAsia="Calibri" w:hAnsiTheme="minorHAnsi" w:cstheme="minorHAnsi"/>
          <w:sz w:val="22"/>
          <w:szCs w:val="22"/>
        </w:rPr>
        <w:t>ny child restraint that does not comply with AS/NZS 1754 cannot legally be used</w:t>
      </w:r>
      <w:r w:rsidR="00424244" w:rsidRPr="006F225E">
        <w:rPr>
          <w:rFonts w:asciiTheme="minorHAnsi" w:eastAsia="Calibri" w:hAnsiTheme="minorHAnsi" w:cstheme="minorHAnsi"/>
          <w:sz w:val="22"/>
          <w:szCs w:val="22"/>
        </w:rPr>
        <w:t xml:space="preserve">, it is </w:t>
      </w:r>
      <w:r w:rsidRPr="006F225E">
        <w:rPr>
          <w:rFonts w:asciiTheme="minorHAnsi" w:eastAsia="Calibri" w:hAnsiTheme="minorHAnsi" w:cstheme="minorHAnsi"/>
          <w:sz w:val="22"/>
          <w:szCs w:val="22"/>
        </w:rPr>
        <w:t xml:space="preserve">most </w:t>
      </w:r>
      <w:r w:rsidR="00424244" w:rsidRPr="006F225E">
        <w:rPr>
          <w:rFonts w:asciiTheme="minorHAnsi" w:eastAsia="Calibri" w:hAnsiTheme="minorHAnsi" w:cstheme="minorHAnsi"/>
          <w:sz w:val="22"/>
          <w:szCs w:val="22"/>
        </w:rPr>
        <w:t>un</w:t>
      </w:r>
      <w:r w:rsidRPr="006F225E">
        <w:rPr>
          <w:rFonts w:asciiTheme="minorHAnsi" w:eastAsia="Calibri" w:hAnsiTheme="minorHAnsi" w:cstheme="minorHAnsi"/>
          <w:sz w:val="22"/>
          <w:szCs w:val="22"/>
        </w:rPr>
        <w:t xml:space="preserve">likely </w:t>
      </w:r>
      <w:r w:rsidR="00424244" w:rsidRPr="006F225E">
        <w:rPr>
          <w:rFonts w:asciiTheme="minorHAnsi" w:eastAsia="Calibri" w:hAnsiTheme="minorHAnsi" w:cstheme="minorHAnsi"/>
          <w:sz w:val="22"/>
          <w:szCs w:val="22"/>
        </w:rPr>
        <w:t>to be of</w:t>
      </w:r>
      <w:r w:rsidRPr="006F225E">
        <w:rPr>
          <w:rFonts w:asciiTheme="minorHAnsi" w:eastAsia="Calibri" w:hAnsiTheme="minorHAnsi" w:cstheme="minorHAnsi"/>
          <w:sz w:val="22"/>
          <w:szCs w:val="22"/>
        </w:rPr>
        <w:t xml:space="preserve"> acceptable quality, ‘fit for purpose’, ‘of merchantable quality’ and </w:t>
      </w:r>
      <w:r w:rsidR="00424244" w:rsidRPr="006F225E">
        <w:rPr>
          <w:rFonts w:asciiTheme="minorHAnsi" w:eastAsia="Calibri" w:hAnsiTheme="minorHAnsi" w:cstheme="minorHAnsi"/>
          <w:sz w:val="22"/>
          <w:szCs w:val="22"/>
        </w:rPr>
        <w:t>probably</w:t>
      </w:r>
      <w:r w:rsidRPr="006F225E">
        <w:rPr>
          <w:rFonts w:asciiTheme="minorHAnsi" w:eastAsia="Calibri" w:hAnsiTheme="minorHAnsi" w:cstheme="minorHAnsi"/>
          <w:sz w:val="22"/>
          <w:szCs w:val="22"/>
        </w:rPr>
        <w:t xml:space="preserve"> be ‘unsafe’ (</w:t>
      </w:r>
      <w:r w:rsidR="007E5185">
        <w:rPr>
          <w:rFonts w:asciiTheme="minorHAnsi" w:eastAsia="Calibri" w:hAnsiTheme="minorHAnsi" w:cstheme="minorHAnsi"/>
          <w:sz w:val="22"/>
          <w:szCs w:val="22"/>
        </w:rPr>
        <w:t>elements of the</w:t>
      </w:r>
      <w:r w:rsidRPr="006F225E">
        <w:rPr>
          <w:rFonts w:asciiTheme="minorHAnsi" w:eastAsia="Calibri" w:hAnsiTheme="minorHAnsi" w:cstheme="minorHAnsi"/>
          <w:sz w:val="22"/>
          <w:szCs w:val="22"/>
        </w:rPr>
        <w:t xml:space="preserve"> Consumer Guarantees </w:t>
      </w:r>
      <w:r w:rsidR="007E5185">
        <w:rPr>
          <w:rFonts w:asciiTheme="minorHAnsi" w:eastAsia="Calibri" w:hAnsiTheme="minorHAnsi" w:cstheme="minorHAnsi"/>
          <w:sz w:val="22"/>
          <w:szCs w:val="22"/>
        </w:rPr>
        <w:t xml:space="preserve">regime </w:t>
      </w:r>
      <w:r w:rsidRPr="006F225E">
        <w:rPr>
          <w:rFonts w:asciiTheme="minorHAnsi" w:eastAsia="Calibri" w:hAnsiTheme="minorHAnsi" w:cstheme="minorHAnsi"/>
          <w:sz w:val="22"/>
          <w:szCs w:val="22"/>
        </w:rPr>
        <w:t>under the ACL)</w:t>
      </w:r>
      <w:r w:rsidR="00222271">
        <w:rPr>
          <w:rFonts w:asciiTheme="minorHAnsi" w:eastAsia="Calibri" w:hAnsiTheme="minorHAnsi" w:cstheme="minorHAnsi"/>
          <w:sz w:val="22"/>
          <w:szCs w:val="22"/>
        </w:rPr>
        <w:t>.</w:t>
      </w:r>
    </w:p>
    <w:p w:rsidR="009A083E" w:rsidRPr="009A083E" w:rsidRDefault="009A083E" w:rsidP="009A083E">
      <w:pPr>
        <w:spacing w:before="120" w:after="240" w:line="220" w:lineRule="atLeast"/>
        <w:jc w:val="both"/>
        <w:rPr>
          <w:rFonts w:ascii="Calibri" w:hAnsi="Calibri" w:cs="Calibri"/>
          <w:sz w:val="22"/>
          <w:szCs w:val="22"/>
        </w:rPr>
      </w:pPr>
      <w:r w:rsidRPr="009A083E">
        <w:rPr>
          <w:rFonts w:ascii="Calibri" w:hAnsi="Calibri" w:cs="Calibri"/>
          <w:sz w:val="22"/>
          <w:szCs w:val="22"/>
        </w:rPr>
        <w:t>The capacity of the ACCC to stop the sale of unsafe child restraint products and to have the product recalled removed from the market will remain. The penalties associated with non-compliance with a safety standard will no longer be available. Relevant general powers within the ACL include:</w:t>
      </w:r>
    </w:p>
    <w:p w:rsidR="009A083E" w:rsidRPr="009A083E" w:rsidRDefault="009A083E" w:rsidP="009A083E">
      <w:pPr>
        <w:numPr>
          <w:ilvl w:val="0"/>
          <w:numId w:val="24"/>
        </w:numPr>
        <w:spacing w:before="120"/>
        <w:contextualSpacing/>
        <w:rPr>
          <w:rFonts w:ascii="Calibri" w:eastAsia="Calibri" w:hAnsi="Calibri" w:cs="Calibri"/>
          <w:sz w:val="22"/>
          <w:szCs w:val="22"/>
          <w:lang w:eastAsia="en-US"/>
        </w:rPr>
      </w:pPr>
      <w:r w:rsidRPr="009A083E">
        <w:rPr>
          <w:rFonts w:ascii="Calibri" w:eastAsia="Calibri" w:hAnsi="Calibri" w:cs="Calibri"/>
          <w:sz w:val="22"/>
          <w:szCs w:val="22"/>
          <w:lang w:eastAsia="en-US"/>
        </w:rPr>
        <w:t>Section 18 of the ACL states that a person must not, in trade or commerce, engage in conduct that is misleading or deceptive or is likely to mislead or deceive.</w:t>
      </w:r>
    </w:p>
    <w:p w:rsidR="009A083E" w:rsidRPr="009A083E" w:rsidRDefault="009A083E" w:rsidP="009A083E">
      <w:pPr>
        <w:numPr>
          <w:ilvl w:val="0"/>
          <w:numId w:val="24"/>
        </w:numPr>
        <w:spacing w:before="120"/>
        <w:contextualSpacing/>
        <w:rPr>
          <w:rFonts w:ascii="Calibri" w:eastAsia="Calibri" w:hAnsi="Calibri" w:cs="Calibri"/>
          <w:sz w:val="22"/>
          <w:szCs w:val="22"/>
          <w:lang w:eastAsia="en-US"/>
        </w:rPr>
      </w:pPr>
      <w:r w:rsidRPr="009A083E">
        <w:rPr>
          <w:rFonts w:ascii="Calibri" w:eastAsia="Calibri" w:hAnsi="Calibri" w:cs="Calibri"/>
          <w:sz w:val="22"/>
          <w:szCs w:val="22"/>
          <w:lang w:eastAsia="en-US"/>
        </w:rPr>
        <w:t>Section 29 of the ACL protects consumers against false or misleading representations being made about goods.</w:t>
      </w:r>
    </w:p>
    <w:p w:rsidR="009A083E" w:rsidRPr="009A083E" w:rsidRDefault="009A083E" w:rsidP="009A083E">
      <w:pPr>
        <w:numPr>
          <w:ilvl w:val="0"/>
          <w:numId w:val="24"/>
        </w:numPr>
        <w:spacing w:before="120"/>
        <w:contextualSpacing/>
        <w:rPr>
          <w:rFonts w:ascii="Calibri" w:eastAsia="Calibri" w:hAnsi="Calibri" w:cs="Calibri"/>
          <w:sz w:val="22"/>
          <w:szCs w:val="22"/>
          <w:lang w:eastAsia="en-US"/>
        </w:rPr>
      </w:pPr>
      <w:r w:rsidRPr="009A083E">
        <w:rPr>
          <w:rFonts w:ascii="Calibri" w:eastAsia="Calibri" w:hAnsi="Calibri" w:cs="Calibri"/>
          <w:sz w:val="22"/>
          <w:szCs w:val="22"/>
          <w:lang w:eastAsia="en-US"/>
        </w:rPr>
        <w:t>Claims of compliance with the Australian Standard must be truthful or suppliers risk breaching section 18 and/or section 29 of the ACL.</w:t>
      </w:r>
    </w:p>
    <w:p w:rsidR="009A083E" w:rsidRPr="009A083E" w:rsidRDefault="009A083E" w:rsidP="009A083E">
      <w:pPr>
        <w:numPr>
          <w:ilvl w:val="0"/>
          <w:numId w:val="24"/>
        </w:numPr>
        <w:spacing w:before="120"/>
        <w:contextualSpacing/>
        <w:rPr>
          <w:rFonts w:ascii="Calibri" w:eastAsia="Calibri" w:hAnsi="Calibri" w:cs="Calibri"/>
          <w:sz w:val="22"/>
          <w:szCs w:val="22"/>
          <w:lang w:eastAsia="en-US"/>
        </w:rPr>
      </w:pPr>
      <w:r w:rsidRPr="009A083E">
        <w:rPr>
          <w:rFonts w:ascii="Calibri" w:eastAsia="Calibri" w:hAnsi="Calibri" w:cs="Calibri"/>
          <w:sz w:val="22"/>
          <w:szCs w:val="22"/>
          <w:lang w:eastAsia="en-US"/>
        </w:rPr>
        <w:t>Section 54 of the ACL provides consumer guarantees that goods are of acceptable quality including that they are free from defects, safe and fit for all the purposes for which goods of that kind are commonly supplied.</w:t>
      </w:r>
    </w:p>
    <w:p w:rsidR="009A083E" w:rsidRPr="009A083E" w:rsidRDefault="009A083E" w:rsidP="009A083E">
      <w:pPr>
        <w:numPr>
          <w:ilvl w:val="0"/>
          <w:numId w:val="24"/>
        </w:numPr>
        <w:spacing w:before="120"/>
        <w:contextualSpacing/>
        <w:rPr>
          <w:rFonts w:ascii="Calibri" w:eastAsia="Calibri" w:hAnsi="Calibri" w:cs="Calibri"/>
          <w:sz w:val="22"/>
          <w:szCs w:val="22"/>
          <w:lang w:eastAsia="en-US"/>
        </w:rPr>
      </w:pPr>
      <w:r w:rsidRPr="009A083E">
        <w:rPr>
          <w:rFonts w:ascii="Calibri" w:eastAsia="Calibri" w:hAnsi="Calibri" w:cs="Calibri"/>
          <w:sz w:val="22"/>
          <w:szCs w:val="22"/>
          <w:lang w:eastAsia="en-US"/>
        </w:rPr>
        <w:t>Section 122 and 128 of the ACL provides for recall of goods which “will or may” cause injury.</w:t>
      </w:r>
    </w:p>
    <w:p w:rsidR="00AC56F7" w:rsidRPr="00033B1F" w:rsidRDefault="00AC56F7" w:rsidP="006F225E">
      <w:pPr>
        <w:pStyle w:val="Heading1"/>
        <w:numPr>
          <w:ilvl w:val="0"/>
          <w:numId w:val="27"/>
        </w:numPr>
        <w:spacing w:before="120" w:after="240" w:line="220" w:lineRule="atLeast"/>
        <w:ind w:left="357" w:hanging="357"/>
        <w:jc w:val="both"/>
        <w:rPr>
          <w:rFonts w:asciiTheme="minorHAnsi" w:hAnsiTheme="minorHAnsi" w:cstheme="minorHAnsi"/>
          <w:sz w:val="36"/>
        </w:rPr>
      </w:pPr>
      <w:bookmarkStart w:id="14" w:name="_Toc391378926"/>
      <w:r w:rsidRPr="00033B1F">
        <w:rPr>
          <w:rFonts w:asciiTheme="minorHAnsi" w:hAnsiTheme="minorHAnsi" w:cstheme="minorHAnsi"/>
          <w:sz w:val="36"/>
        </w:rPr>
        <w:t>Pr</w:t>
      </w:r>
      <w:r w:rsidR="0077223A" w:rsidRPr="00033B1F">
        <w:rPr>
          <w:rFonts w:asciiTheme="minorHAnsi" w:hAnsiTheme="minorHAnsi" w:cstheme="minorHAnsi"/>
          <w:sz w:val="36"/>
        </w:rPr>
        <w:t>oposed option</w:t>
      </w:r>
      <w:bookmarkEnd w:id="14"/>
    </w:p>
    <w:p w:rsidR="000E0E2D" w:rsidRPr="006F225E" w:rsidRDefault="007E5185" w:rsidP="006F225E">
      <w:pPr>
        <w:spacing w:before="120" w:after="240" w:line="220" w:lineRule="atLeast"/>
        <w:jc w:val="both"/>
        <w:rPr>
          <w:rFonts w:asciiTheme="minorHAnsi" w:hAnsiTheme="minorHAnsi" w:cstheme="minorHAnsi"/>
          <w:sz w:val="22"/>
          <w:szCs w:val="22"/>
        </w:rPr>
      </w:pPr>
      <w:r>
        <w:rPr>
          <w:rFonts w:asciiTheme="minorHAnsi" w:hAnsiTheme="minorHAnsi" w:cstheme="minorHAnsi"/>
          <w:sz w:val="22"/>
          <w:szCs w:val="22"/>
        </w:rPr>
        <w:t>T</w:t>
      </w:r>
      <w:r w:rsidR="000E0E2D" w:rsidRPr="006F225E">
        <w:rPr>
          <w:rFonts w:asciiTheme="minorHAnsi" w:hAnsiTheme="minorHAnsi" w:cstheme="minorHAnsi"/>
          <w:sz w:val="22"/>
          <w:szCs w:val="22"/>
        </w:rPr>
        <w:t xml:space="preserve">he ACCC is </w:t>
      </w:r>
      <w:r w:rsidR="0077223A" w:rsidRPr="006F225E">
        <w:rPr>
          <w:rFonts w:asciiTheme="minorHAnsi" w:hAnsiTheme="minorHAnsi" w:cstheme="minorHAnsi"/>
          <w:sz w:val="22"/>
          <w:szCs w:val="22"/>
        </w:rPr>
        <w:t>proposing to</w:t>
      </w:r>
      <w:r w:rsidR="000E0E2D" w:rsidRPr="006F225E">
        <w:rPr>
          <w:rFonts w:asciiTheme="minorHAnsi" w:hAnsiTheme="minorHAnsi" w:cstheme="minorHAnsi"/>
          <w:sz w:val="22"/>
          <w:szCs w:val="22"/>
        </w:rPr>
        <w:t xml:space="preserve"> move to use of the general powers of the ACL to support the existing State and Territory road user regulations relating to child restraints and </w:t>
      </w:r>
      <w:r w:rsidR="009A083E">
        <w:rPr>
          <w:rFonts w:asciiTheme="minorHAnsi" w:hAnsiTheme="minorHAnsi" w:cstheme="minorHAnsi"/>
          <w:sz w:val="22"/>
          <w:szCs w:val="22"/>
        </w:rPr>
        <w:t xml:space="preserve">to support </w:t>
      </w:r>
      <w:r w:rsidR="000E0E2D" w:rsidRPr="006F225E">
        <w:rPr>
          <w:rFonts w:asciiTheme="minorHAnsi" w:hAnsiTheme="minorHAnsi" w:cstheme="minorHAnsi"/>
          <w:sz w:val="22"/>
          <w:szCs w:val="22"/>
        </w:rPr>
        <w:t>AS/NZS 1754.</w:t>
      </w:r>
    </w:p>
    <w:p w:rsidR="000E0E2D" w:rsidRPr="006F225E" w:rsidRDefault="000E0E2D"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The advantages </w:t>
      </w:r>
      <w:r w:rsidR="000B1AF5">
        <w:rPr>
          <w:rFonts w:asciiTheme="minorHAnsi" w:hAnsiTheme="minorHAnsi" w:cstheme="minorHAnsi"/>
          <w:sz w:val="22"/>
          <w:szCs w:val="22"/>
        </w:rPr>
        <w:t>of the change</w:t>
      </w:r>
      <w:r w:rsidRPr="006F225E">
        <w:rPr>
          <w:rFonts w:asciiTheme="minorHAnsi" w:hAnsiTheme="minorHAnsi" w:cstheme="minorHAnsi"/>
          <w:sz w:val="22"/>
          <w:szCs w:val="22"/>
        </w:rPr>
        <w:t xml:space="preserve"> include: the end of any conflict or perceived conflict between the mandatory safety standard and road regulation user laws; a clearer message to suppliers to comply with</w:t>
      </w:r>
      <w:r w:rsidR="00B46527" w:rsidRPr="006F225E">
        <w:rPr>
          <w:rFonts w:asciiTheme="minorHAnsi" w:hAnsiTheme="minorHAnsi" w:cstheme="minorHAnsi"/>
          <w:sz w:val="22"/>
          <w:szCs w:val="22"/>
        </w:rPr>
        <w:t>,</w:t>
      </w:r>
      <w:r w:rsidRPr="006F225E">
        <w:rPr>
          <w:rFonts w:asciiTheme="minorHAnsi" w:hAnsiTheme="minorHAnsi" w:cstheme="minorHAnsi"/>
          <w:sz w:val="22"/>
          <w:szCs w:val="22"/>
        </w:rPr>
        <w:t xml:space="preserve"> </w:t>
      </w:r>
      <w:r w:rsidR="00B46527" w:rsidRPr="006F225E">
        <w:rPr>
          <w:rFonts w:asciiTheme="minorHAnsi" w:hAnsiTheme="minorHAnsi" w:cstheme="minorHAnsi"/>
          <w:sz w:val="22"/>
          <w:szCs w:val="22"/>
        </w:rPr>
        <w:t xml:space="preserve">and </w:t>
      </w:r>
      <w:r w:rsidR="00B46527" w:rsidRPr="006F225E">
        <w:rPr>
          <w:rFonts w:ascii="Calibri" w:hAnsi="Calibri" w:cs="Calibri"/>
          <w:sz w:val="22"/>
          <w:szCs w:val="22"/>
        </w:rPr>
        <w:t xml:space="preserve">consumers to </w:t>
      </w:r>
      <w:r w:rsidR="00B46527" w:rsidRPr="006F225E">
        <w:rPr>
          <w:rFonts w:asciiTheme="minorHAnsi" w:hAnsiTheme="minorHAnsi" w:cstheme="minorHAnsi"/>
          <w:sz w:val="22"/>
          <w:szCs w:val="22"/>
        </w:rPr>
        <w:t>use child restraints that meet, AS/NZS 1754</w:t>
      </w:r>
      <w:r w:rsidRPr="006F225E">
        <w:rPr>
          <w:rFonts w:asciiTheme="minorHAnsi" w:hAnsiTheme="minorHAnsi" w:cstheme="minorHAnsi"/>
          <w:sz w:val="22"/>
          <w:szCs w:val="22"/>
        </w:rPr>
        <w:t xml:space="preserve">; a reduction in delays in implementing revisions to AS/NZS 1754; </w:t>
      </w:r>
      <w:r w:rsidR="0077223A" w:rsidRPr="006F225E">
        <w:rPr>
          <w:rFonts w:asciiTheme="minorHAnsi" w:hAnsiTheme="minorHAnsi" w:cstheme="minorHAnsi"/>
          <w:sz w:val="22"/>
          <w:szCs w:val="22"/>
        </w:rPr>
        <w:t xml:space="preserve">removal of an unnecessary layer of regulation and consultation process; </w:t>
      </w:r>
      <w:r w:rsidRPr="006F225E">
        <w:rPr>
          <w:rFonts w:asciiTheme="minorHAnsi" w:hAnsiTheme="minorHAnsi" w:cstheme="minorHAnsi"/>
          <w:sz w:val="22"/>
          <w:szCs w:val="22"/>
        </w:rPr>
        <w:t>and, of primary importance, no change in the performance and safety of child restraints.</w:t>
      </w:r>
    </w:p>
    <w:p w:rsidR="00B839C7" w:rsidRPr="006F225E" w:rsidRDefault="0077223A"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lastRenderedPageBreak/>
        <w:t xml:space="preserve">Such a change would </w:t>
      </w:r>
      <w:r w:rsidRPr="006F225E">
        <w:rPr>
          <w:rFonts w:asciiTheme="minorHAnsi" w:hAnsiTheme="minorHAnsi" w:cstheme="minorHAnsi"/>
          <w:sz w:val="22"/>
          <w:szCs w:val="22"/>
          <w:u w:val="single"/>
        </w:rPr>
        <w:t>neither</w:t>
      </w:r>
      <w:r w:rsidR="00C81E8D" w:rsidRPr="006F225E">
        <w:rPr>
          <w:rFonts w:asciiTheme="minorHAnsi" w:hAnsiTheme="minorHAnsi" w:cstheme="minorHAnsi"/>
          <w:sz w:val="22"/>
          <w:szCs w:val="22"/>
        </w:rPr>
        <w:t xml:space="preserve"> </w:t>
      </w:r>
      <w:r w:rsidRPr="006F225E">
        <w:rPr>
          <w:rFonts w:asciiTheme="minorHAnsi" w:hAnsiTheme="minorHAnsi" w:cstheme="minorHAnsi"/>
          <w:sz w:val="22"/>
          <w:szCs w:val="22"/>
        </w:rPr>
        <w:t xml:space="preserve">exacerbate </w:t>
      </w:r>
      <w:r w:rsidR="00B46527" w:rsidRPr="006F225E">
        <w:rPr>
          <w:rFonts w:asciiTheme="minorHAnsi" w:hAnsiTheme="minorHAnsi" w:cstheme="minorHAnsi"/>
          <w:sz w:val="22"/>
          <w:szCs w:val="22"/>
        </w:rPr>
        <w:t>n</w:t>
      </w:r>
      <w:r w:rsidRPr="006F225E">
        <w:rPr>
          <w:rFonts w:asciiTheme="minorHAnsi" w:hAnsiTheme="minorHAnsi" w:cstheme="minorHAnsi"/>
          <w:sz w:val="22"/>
          <w:szCs w:val="22"/>
        </w:rPr>
        <w:t xml:space="preserve">or </w:t>
      </w:r>
      <w:r w:rsidR="00C81E8D" w:rsidRPr="006F225E">
        <w:rPr>
          <w:rFonts w:asciiTheme="minorHAnsi" w:hAnsiTheme="minorHAnsi" w:cstheme="minorHAnsi"/>
          <w:sz w:val="22"/>
          <w:szCs w:val="22"/>
        </w:rPr>
        <w:t xml:space="preserve">resolve </w:t>
      </w:r>
      <w:r w:rsidR="00B839C7" w:rsidRPr="006F225E">
        <w:rPr>
          <w:rFonts w:asciiTheme="minorHAnsi" w:hAnsiTheme="minorHAnsi" w:cstheme="minorHAnsi"/>
          <w:sz w:val="22"/>
          <w:szCs w:val="22"/>
        </w:rPr>
        <w:t xml:space="preserve">some issues in relation to child restraints including </w:t>
      </w:r>
      <w:r w:rsidRPr="006F225E">
        <w:rPr>
          <w:rFonts w:asciiTheme="minorHAnsi" w:hAnsiTheme="minorHAnsi" w:cstheme="minorHAnsi"/>
          <w:sz w:val="22"/>
          <w:szCs w:val="22"/>
        </w:rPr>
        <w:t xml:space="preserve">existing minor inconsistencies in use laws </w:t>
      </w:r>
      <w:r w:rsidR="00B839C7" w:rsidRPr="006F225E">
        <w:rPr>
          <w:rFonts w:asciiTheme="minorHAnsi" w:hAnsiTheme="minorHAnsi" w:cstheme="minorHAnsi"/>
          <w:sz w:val="22"/>
          <w:szCs w:val="22"/>
        </w:rPr>
        <w:t xml:space="preserve">across the jurisdictions; individuals importing and using restraints that are non-compliant with AS/NZS 1754; </w:t>
      </w:r>
      <w:r w:rsidR="000B1AF5">
        <w:rPr>
          <w:rFonts w:asciiTheme="minorHAnsi" w:hAnsiTheme="minorHAnsi" w:cstheme="minorHAnsi"/>
          <w:sz w:val="22"/>
          <w:szCs w:val="22"/>
        </w:rPr>
        <w:t>c</w:t>
      </w:r>
      <w:r w:rsidR="00B839C7" w:rsidRPr="006F225E">
        <w:rPr>
          <w:rFonts w:asciiTheme="minorHAnsi" w:hAnsiTheme="minorHAnsi" w:cstheme="minorHAnsi"/>
          <w:sz w:val="22"/>
          <w:szCs w:val="22"/>
        </w:rPr>
        <w:t xml:space="preserve">hildren </w:t>
      </w:r>
      <w:r w:rsidR="000B1AF5">
        <w:rPr>
          <w:rFonts w:asciiTheme="minorHAnsi" w:hAnsiTheme="minorHAnsi" w:cstheme="minorHAnsi"/>
          <w:sz w:val="22"/>
          <w:szCs w:val="22"/>
        </w:rPr>
        <w:t xml:space="preserve">being </w:t>
      </w:r>
      <w:r w:rsidR="00B839C7" w:rsidRPr="006F225E">
        <w:rPr>
          <w:rFonts w:asciiTheme="minorHAnsi" w:hAnsiTheme="minorHAnsi" w:cstheme="minorHAnsi"/>
          <w:sz w:val="22"/>
          <w:szCs w:val="22"/>
        </w:rPr>
        <w:t>placed in inappropriate restraints</w:t>
      </w:r>
      <w:r w:rsidR="000B1AF5">
        <w:rPr>
          <w:rFonts w:asciiTheme="minorHAnsi" w:hAnsiTheme="minorHAnsi" w:cstheme="minorHAnsi"/>
          <w:sz w:val="22"/>
          <w:szCs w:val="22"/>
        </w:rPr>
        <w:t>;</w:t>
      </w:r>
      <w:r w:rsidR="00B839C7" w:rsidRPr="006F225E">
        <w:rPr>
          <w:rFonts w:asciiTheme="minorHAnsi" w:hAnsiTheme="minorHAnsi" w:cstheme="minorHAnsi"/>
          <w:sz w:val="22"/>
          <w:szCs w:val="22"/>
        </w:rPr>
        <w:t xml:space="preserve"> or </w:t>
      </w:r>
      <w:r w:rsidR="000B1AF5">
        <w:rPr>
          <w:rFonts w:asciiTheme="minorHAnsi" w:hAnsiTheme="minorHAnsi" w:cstheme="minorHAnsi"/>
          <w:sz w:val="22"/>
          <w:szCs w:val="22"/>
        </w:rPr>
        <w:t xml:space="preserve">children being </w:t>
      </w:r>
      <w:r w:rsidR="00B839C7" w:rsidRPr="006F225E">
        <w:rPr>
          <w:rFonts w:asciiTheme="minorHAnsi" w:hAnsiTheme="minorHAnsi" w:cstheme="minorHAnsi"/>
          <w:sz w:val="22"/>
          <w:szCs w:val="22"/>
        </w:rPr>
        <w:t>carried unrestrained.</w:t>
      </w:r>
    </w:p>
    <w:p w:rsidR="00B839C7" w:rsidRPr="006F225E" w:rsidRDefault="000B1AF5" w:rsidP="006F225E">
      <w:pPr>
        <w:spacing w:before="120" w:after="240" w:line="220" w:lineRule="atLeast"/>
        <w:jc w:val="both"/>
        <w:rPr>
          <w:rFonts w:asciiTheme="minorHAnsi" w:hAnsiTheme="minorHAnsi" w:cstheme="minorHAnsi"/>
          <w:sz w:val="22"/>
          <w:szCs w:val="22"/>
        </w:rPr>
      </w:pPr>
      <w:r>
        <w:rPr>
          <w:rFonts w:asciiTheme="minorHAnsi" w:hAnsiTheme="minorHAnsi" w:cstheme="minorHAnsi"/>
          <w:sz w:val="22"/>
          <w:szCs w:val="22"/>
        </w:rPr>
        <w:t>S</w:t>
      </w:r>
      <w:r w:rsidR="00B839C7" w:rsidRPr="006F225E">
        <w:rPr>
          <w:rFonts w:asciiTheme="minorHAnsi" w:hAnsiTheme="minorHAnsi" w:cstheme="minorHAnsi"/>
          <w:sz w:val="22"/>
          <w:szCs w:val="22"/>
        </w:rPr>
        <w:t>ubmissions in this public consultation and additional information provided by stakeholders</w:t>
      </w:r>
      <w:r>
        <w:rPr>
          <w:rFonts w:asciiTheme="minorHAnsi" w:hAnsiTheme="minorHAnsi" w:cstheme="minorHAnsi"/>
          <w:sz w:val="22"/>
          <w:szCs w:val="22"/>
        </w:rPr>
        <w:t xml:space="preserve"> will inform</w:t>
      </w:r>
      <w:r w:rsidR="00B839C7" w:rsidRPr="006F225E">
        <w:rPr>
          <w:rFonts w:asciiTheme="minorHAnsi" w:hAnsiTheme="minorHAnsi" w:cstheme="minorHAnsi"/>
          <w:sz w:val="22"/>
          <w:szCs w:val="22"/>
        </w:rPr>
        <w:t xml:space="preserve"> </w:t>
      </w:r>
      <w:r>
        <w:rPr>
          <w:rFonts w:asciiTheme="minorHAnsi" w:hAnsiTheme="minorHAnsi" w:cstheme="minorHAnsi"/>
          <w:sz w:val="22"/>
          <w:szCs w:val="22"/>
        </w:rPr>
        <w:t xml:space="preserve">advice prepared for the Commonwealth Minister </w:t>
      </w:r>
      <w:r w:rsidR="00B839C7" w:rsidRPr="006F225E">
        <w:rPr>
          <w:rFonts w:asciiTheme="minorHAnsi" w:hAnsiTheme="minorHAnsi" w:cstheme="minorHAnsi"/>
          <w:sz w:val="22"/>
          <w:szCs w:val="22"/>
        </w:rPr>
        <w:t>on how best to support the safety of child restraints.</w:t>
      </w:r>
    </w:p>
    <w:p w:rsidR="00B839C7" w:rsidRDefault="00B839C7"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If the proposal to rely on the general powers of the ACL is to be implemented the existing safety standard would be revoked and all publicity material and information on the Product Safety Australia website would be revised to refer to </w:t>
      </w:r>
      <w:r w:rsidR="00B46527" w:rsidRPr="006F225E">
        <w:rPr>
          <w:rFonts w:asciiTheme="minorHAnsi" w:hAnsiTheme="minorHAnsi" w:cstheme="minorHAnsi"/>
          <w:sz w:val="22"/>
          <w:szCs w:val="22"/>
        </w:rPr>
        <w:t>AS/NZS 1754</w:t>
      </w:r>
      <w:r w:rsidRPr="006F225E">
        <w:rPr>
          <w:rFonts w:asciiTheme="minorHAnsi" w:hAnsiTheme="minorHAnsi" w:cstheme="minorHAnsi"/>
          <w:sz w:val="22"/>
          <w:szCs w:val="22"/>
        </w:rPr>
        <w:t xml:space="preserve"> and to the state and territory road use regulations.</w:t>
      </w:r>
    </w:p>
    <w:p w:rsidR="00664464" w:rsidRPr="006F225E" w:rsidRDefault="00B839C7"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If </w:t>
      </w:r>
      <w:r w:rsidR="000A3E7C">
        <w:rPr>
          <w:rFonts w:asciiTheme="minorHAnsi" w:hAnsiTheme="minorHAnsi" w:cstheme="minorHAnsi"/>
          <w:sz w:val="22"/>
          <w:szCs w:val="22"/>
        </w:rPr>
        <w:t>further investigation</w:t>
      </w:r>
      <w:r w:rsidRPr="006F225E">
        <w:rPr>
          <w:rFonts w:asciiTheme="minorHAnsi" w:hAnsiTheme="minorHAnsi" w:cstheme="minorHAnsi"/>
          <w:sz w:val="22"/>
          <w:szCs w:val="22"/>
        </w:rPr>
        <w:t xml:space="preserve"> indicates that the proposed use of the general powers would not be effective or efficient in maintaining the safety of child restraints the ACCC would prepare advice to the Minister on revision of the existing safety standard. </w:t>
      </w:r>
      <w:r w:rsidR="00664464" w:rsidRPr="006F225E">
        <w:rPr>
          <w:rFonts w:asciiTheme="minorHAnsi" w:hAnsiTheme="minorHAnsi" w:cstheme="minorHAnsi"/>
          <w:sz w:val="22"/>
          <w:szCs w:val="22"/>
        </w:rPr>
        <w:t xml:space="preserve">  </w:t>
      </w:r>
    </w:p>
    <w:p w:rsidR="00AC56F7" w:rsidRPr="00033B1F" w:rsidRDefault="00AC56F7" w:rsidP="006F225E">
      <w:pPr>
        <w:pStyle w:val="Heading1"/>
        <w:numPr>
          <w:ilvl w:val="0"/>
          <w:numId w:val="27"/>
        </w:numPr>
        <w:spacing w:before="120" w:after="240" w:line="220" w:lineRule="atLeast"/>
        <w:ind w:left="357" w:hanging="357"/>
        <w:jc w:val="both"/>
        <w:rPr>
          <w:rFonts w:asciiTheme="minorHAnsi" w:hAnsiTheme="minorHAnsi" w:cstheme="minorHAnsi"/>
          <w:sz w:val="36"/>
        </w:rPr>
      </w:pPr>
      <w:bookmarkStart w:id="15" w:name="_Toc391378927"/>
      <w:r w:rsidRPr="00033B1F">
        <w:rPr>
          <w:rFonts w:asciiTheme="minorHAnsi" w:hAnsiTheme="minorHAnsi" w:cstheme="minorHAnsi"/>
          <w:sz w:val="36"/>
        </w:rPr>
        <w:t>Consultation</w:t>
      </w:r>
      <w:bookmarkEnd w:id="15"/>
    </w:p>
    <w:p w:rsidR="004E3A8C" w:rsidRPr="006F225E" w:rsidRDefault="00AC56F7"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Stakeholders are invited to make submissions </w:t>
      </w:r>
      <w:r w:rsidR="004E3A8C" w:rsidRPr="006F225E">
        <w:rPr>
          <w:rFonts w:asciiTheme="minorHAnsi" w:hAnsiTheme="minorHAnsi" w:cstheme="minorHAnsi"/>
          <w:sz w:val="22"/>
          <w:szCs w:val="22"/>
        </w:rPr>
        <w:t>or comment on the proposal outlined in the</w:t>
      </w:r>
      <w:r w:rsidRPr="006F225E">
        <w:rPr>
          <w:rFonts w:asciiTheme="minorHAnsi" w:hAnsiTheme="minorHAnsi" w:cstheme="minorHAnsi"/>
          <w:sz w:val="22"/>
          <w:szCs w:val="22"/>
        </w:rPr>
        <w:t xml:space="preserve"> paper. </w:t>
      </w:r>
      <w:r w:rsidR="004E3A8C" w:rsidRPr="006F225E">
        <w:rPr>
          <w:rFonts w:asciiTheme="minorHAnsi" w:hAnsiTheme="minorHAnsi" w:cstheme="minorHAnsi"/>
          <w:sz w:val="22"/>
          <w:szCs w:val="22"/>
        </w:rPr>
        <w:t>S</w:t>
      </w:r>
      <w:r w:rsidRPr="006F225E">
        <w:rPr>
          <w:rFonts w:asciiTheme="minorHAnsi" w:hAnsiTheme="minorHAnsi" w:cstheme="minorHAnsi"/>
          <w:sz w:val="22"/>
          <w:szCs w:val="22"/>
        </w:rPr>
        <w:t xml:space="preserve">takeholders are requested to explain </w:t>
      </w:r>
      <w:r w:rsidR="004E3A8C" w:rsidRPr="006F225E">
        <w:rPr>
          <w:rFonts w:asciiTheme="minorHAnsi" w:hAnsiTheme="minorHAnsi" w:cstheme="minorHAnsi"/>
          <w:sz w:val="22"/>
          <w:szCs w:val="22"/>
        </w:rPr>
        <w:t xml:space="preserve">the thoughts behind their position and, </w:t>
      </w:r>
      <w:r w:rsidRPr="006F225E">
        <w:rPr>
          <w:rFonts w:asciiTheme="minorHAnsi" w:hAnsiTheme="minorHAnsi" w:cstheme="minorHAnsi"/>
          <w:sz w:val="22"/>
          <w:szCs w:val="22"/>
        </w:rPr>
        <w:t>where relevant</w:t>
      </w:r>
      <w:r w:rsidR="004E3A8C" w:rsidRPr="006F225E">
        <w:rPr>
          <w:rFonts w:asciiTheme="minorHAnsi" w:hAnsiTheme="minorHAnsi" w:cstheme="minorHAnsi"/>
          <w:sz w:val="22"/>
          <w:szCs w:val="22"/>
        </w:rPr>
        <w:t>,</w:t>
      </w:r>
      <w:r w:rsidRPr="006F225E">
        <w:rPr>
          <w:rFonts w:asciiTheme="minorHAnsi" w:hAnsiTheme="minorHAnsi" w:cstheme="minorHAnsi"/>
          <w:sz w:val="22"/>
          <w:szCs w:val="22"/>
        </w:rPr>
        <w:t xml:space="preserve"> provide supporting evidence or documentation. </w:t>
      </w:r>
    </w:p>
    <w:p w:rsidR="000B1AF5" w:rsidRDefault="00987F74"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Stakeholders that support the preferred option should still make a submission and provide reasons for supporting that option.</w:t>
      </w:r>
      <w:r w:rsidR="00515996">
        <w:rPr>
          <w:rFonts w:asciiTheme="minorHAnsi" w:hAnsiTheme="minorHAnsi" w:cstheme="minorHAnsi"/>
          <w:sz w:val="22"/>
          <w:szCs w:val="22"/>
        </w:rPr>
        <w:t xml:space="preserve"> </w:t>
      </w:r>
    </w:p>
    <w:p w:rsidR="004E11D2" w:rsidRPr="00222271" w:rsidRDefault="000B1AF5" w:rsidP="006F225E">
      <w:pPr>
        <w:spacing w:before="120" w:after="240" w:line="220" w:lineRule="atLeast"/>
        <w:jc w:val="both"/>
        <w:rPr>
          <w:rFonts w:asciiTheme="minorHAnsi" w:hAnsiTheme="minorHAnsi" w:cstheme="minorHAnsi"/>
          <w:sz w:val="22"/>
          <w:szCs w:val="22"/>
        </w:rPr>
      </w:pPr>
      <w:r>
        <w:rPr>
          <w:rFonts w:asciiTheme="minorHAnsi" w:hAnsiTheme="minorHAnsi" w:cstheme="minorHAnsi"/>
          <w:sz w:val="22"/>
          <w:szCs w:val="22"/>
        </w:rPr>
        <w:br w:type="page"/>
      </w:r>
      <w:r w:rsidR="004E11D2" w:rsidRPr="006F225E">
        <w:rPr>
          <w:rFonts w:asciiTheme="minorHAnsi" w:hAnsiTheme="minorHAnsi" w:cstheme="minorHAnsi"/>
          <w:sz w:val="22"/>
          <w:szCs w:val="22"/>
        </w:rPr>
        <w:t xml:space="preserve">It </w:t>
      </w:r>
      <w:r w:rsidR="004E11D2" w:rsidRPr="00222271">
        <w:rPr>
          <w:rFonts w:asciiTheme="minorHAnsi" w:hAnsiTheme="minorHAnsi" w:cstheme="minorHAnsi"/>
          <w:sz w:val="22"/>
          <w:szCs w:val="22"/>
        </w:rPr>
        <w:t xml:space="preserve">would be of assistance </w:t>
      </w:r>
      <w:r w:rsidR="00222271">
        <w:rPr>
          <w:rFonts w:asciiTheme="minorHAnsi" w:hAnsiTheme="minorHAnsi" w:cstheme="minorHAnsi"/>
          <w:sz w:val="22"/>
          <w:szCs w:val="22"/>
        </w:rPr>
        <w:t>if</w:t>
      </w:r>
      <w:r w:rsidR="004E11D2" w:rsidRPr="00222271">
        <w:rPr>
          <w:rFonts w:asciiTheme="minorHAnsi" w:hAnsiTheme="minorHAnsi" w:cstheme="minorHAnsi"/>
          <w:sz w:val="22"/>
          <w:szCs w:val="22"/>
        </w:rPr>
        <w:t xml:space="preserve"> </w:t>
      </w:r>
      <w:r w:rsidR="004E11D2" w:rsidRPr="00222271">
        <w:rPr>
          <w:rFonts w:asciiTheme="minorHAnsi" w:hAnsiTheme="minorHAnsi" w:cstheme="minorHAnsi"/>
          <w:sz w:val="22"/>
          <w:szCs w:val="22"/>
          <w:u w:val="single"/>
        </w:rPr>
        <w:t>submissions address three areas</w:t>
      </w:r>
      <w:r w:rsidR="004E11D2" w:rsidRPr="00222271">
        <w:rPr>
          <w:rFonts w:asciiTheme="minorHAnsi" w:hAnsiTheme="minorHAnsi" w:cstheme="minorHAnsi"/>
          <w:sz w:val="22"/>
          <w:szCs w:val="22"/>
        </w:rPr>
        <w:t>:</w:t>
      </w:r>
    </w:p>
    <w:p w:rsidR="004E11D2" w:rsidRPr="00222271" w:rsidRDefault="004E11D2" w:rsidP="006F225E">
      <w:pPr>
        <w:numPr>
          <w:ilvl w:val="0"/>
          <w:numId w:val="26"/>
        </w:numPr>
        <w:spacing w:before="120" w:after="240" w:line="220" w:lineRule="atLeast"/>
        <w:ind w:left="714" w:hanging="357"/>
        <w:contextualSpacing/>
        <w:jc w:val="both"/>
        <w:rPr>
          <w:rFonts w:asciiTheme="minorHAnsi" w:hAnsiTheme="minorHAnsi" w:cstheme="minorHAnsi"/>
          <w:b/>
          <w:sz w:val="22"/>
          <w:szCs w:val="22"/>
        </w:rPr>
      </w:pPr>
      <w:r w:rsidRPr="00222271">
        <w:rPr>
          <w:rFonts w:asciiTheme="minorHAnsi" w:hAnsiTheme="minorHAnsi" w:cstheme="minorHAnsi"/>
          <w:b/>
          <w:sz w:val="22"/>
          <w:szCs w:val="22"/>
        </w:rPr>
        <w:t>The principle of using the general provisions of the ACL to support the Australian Standard and the existing road authority use laws</w:t>
      </w:r>
      <w:r w:rsidR="00340E0A" w:rsidRPr="00222271">
        <w:rPr>
          <w:rFonts w:asciiTheme="minorHAnsi" w:hAnsiTheme="minorHAnsi" w:cstheme="minorHAnsi"/>
          <w:b/>
          <w:sz w:val="22"/>
          <w:szCs w:val="22"/>
        </w:rPr>
        <w:t>.</w:t>
      </w:r>
    </w:p>
    <w:p w:rsidR="004E11D2" w:rsidRPr="00222271" w:rsidRDefault="004E11D2" w:rsidP="006F225E">
      <w:pPr>
        <w:numPr>
          <w:ilvl w:val="0"/>
          <w:numId w:val="26"/>
        </w:numPr>
        <w:spacing w:before="120" w:after="240" w:line="220" w:lineRule="atLeast"/>
        <w:ind w:left="714" w:hanging="357"/>
        <w:contextualSpacing/>
        <w:jc w:val="both"/>
        <w:rPr>
          <w:rFonts w:asciiTheme="minorHAnsi" w:hAnsiTheme="minorHAnsi" w:cstheme="minorHAnsi"/>
          <w:b/>
          <w:sz w:val="22"/>
          <w:szCs w:val="22"/>
        </w:rPr>
      </w:pPr>
      <w:r w:rsidRPr="00222271">
        <w:rPr>
          <w:rFonts w:asciiTheme="minorHAnsi" w:hAnsiTheme="minorHAnsi" w:cstheme="minorHAnsi"/>
          <w:b/>
          <w:sz w:val="22"/>
          <w:szCs w:val="22"/>
        </w:rPr>
        <w:t>Issues or arguments on the detail of use of the general powers of the ACL and the revocation of the existing safety standard</w:t>
      </w:r>
      <w:r w:rsidR="00340E0A" w:rsidRPr="00222271">
        <w:rPr>
          <w:rFonts w:asciiTheme="minorHAnsi" w:hAnsiTheme="minorHAnsi" w:cstheme="minorHAnsi"/>
          <w:b/>
          <w:sz w:val="22"/>
          <w:szCs w:val="22"/>
        </w:rPr>
        <w:t>.</w:t>
      </w:r>
    </w:p>
    <w:p w:rsidR="004E11D2" w:rsidRPr="00515996" w:rsidRDefault="004E11D2" w:rsidP="006F225E">
      <w:pPr>
        <w:numPr>
          <w:ilvl w:val="0"/>
          <w:numId w:val="26"/>
        </w:numPr>
        <w:spacing w:before="120" w:after="240" w:line="220" w:lineRule="atLeast"/>
        <w:ind w:left="714" w:hanging="357"/>
        <w:contextualSpacing/>
        <w:jc w:val="both"/>
        <w:rPr>
          <w:rFonts w:asciiTheme="minorHAnsi" w:hAnsiTheme="minorHAnsi" w:cstheme="minorHAnsi"/>
          <w:b/>
          <w:sz w:val="22"/>
          <w:szCs w:val="22"/>
        </w:rPr>
      </w:pPr>
      <w:r w:rsidRPr="00515996">
        <w:rPr>
          <w:rFonts w:asciiTheme="minorHAnsi" w:hAnsiTheme="minorHAnsi" w:cstheme="minorHAnsi"/>
          <w:b/>
          <w:sz w:val="22"/>
          <w:szCs w:val="22"/>
        </w:rPr>
        <w:t>Information or research relating to the issues or arguments, particularly those relating to costs</w:t>
      </w:r>
      <w:r w:rsidR="007B387F" w:rsidRPr="00515996">
        <w:rPr>
          <w:rFonts w:asciiTheme="minorHAnsi" w:hAnsiTheme="minorHAnsi" w:cstheme="minorHAnsi"/>
          <w:b/>
          <w:sz w:val="22"/>
          <w:szCs w:val="22"/>
        </w:rPr>
        <w:t xml:space="preserve"> and to differences in cost under the existing and proposed mechanism of support</w:t>
      </w:r>
      <w:r w:rsidRPr="00515996">
        <w:rPr>
          <w:rFonts w:asciiTheme="minorHAnsi" w:hAnsiTheme="minorHAnsi" w:cstheme="minorHAnsi"/>
          <w:b/>
          <w:sz w:val="22"/>
          <w:szCs w:val="22"/>
        </w:rPr>
        <w:t>.</w:t>
      </w:r>
    </w:p>
    <w:p w:rsidR="00222271" w:rsidRDefault="00222271" w:rsidP="006F225E">
      <w:pPr>
        <w:spacing w:before="120" w:after="240" w:line="220" w:lineRule="atLeast"/>
        <w:jc w:val="both"/>
        <w:rPr>
          <w:rFonts w:asciiTheme="minorHAnsi" w:hAnsiTheme="minorHAnsi" w:cstheme="minorHAnsi"/>
          <w:sz w:val="22"/>
          <w:szCs w:val="22"/>
        </w:rPr>
      </w:pPr>
    </w:p>
    <w:p w:rsidR="004E3A8C" w:rsidRPr="006F225E" w:rsidRDefault="004E3A8C" w:rsidP="006F225E">
      <w:pPr>
        <w:spacing w:before="120" w:after="240" w:line="220" w:lineRule="atLeast"/>
        <w:jc w:val="both"/>
        <w:rPr>
          <w:rFonts w:asciiTheme="minorHAnsi" w:hAnsiTheme="minorHAnsi" w:cstheme="minorHAnsi"/>
          <w:b/>
          <w:sz w:val="22"/>
          <w:szCs w:val="22"/>
        </w:rPr>
      </w:pPr>
      <w:bookmarkStart w:id="16" w:name="_GoBack"/>
      <w:bookmarkEnd w:id="16"/>
      <w:r w:rsidRPr="006F225E">
        <w:rPr>
          <w:rFonts w:asciiTheme="minorHAnsi" w:hAnsiTheme="minorHAnsi" w:cstheme="minorHAnsi"/>
          <w:b/>
          <w:sz w:val="22"/>
          <w:szCs w:val="22"/>
        </w:rPr>
        <w:lastRenderedPageBreak/>
        <w:t xml:space="preserve">Submissions should be sent to the ACCC by close of business, </w:t>
      </w:r>
      <w:r w:rsidR="007B387F" w:rsidRPr="007B387F">
        <w:rPr>
          <w:rFonts w:asciiTheme="minorHAnsi" w:hAnsiTheme="minorHAnsi" w:cstheme="minorHAnsi"/>
          <w:b/>
          <w:sz w:val="22"/>
          <w:szCs w:val="22"/>
          <w:highlight w:val="yellow"/>
        </w:rPr>
        <w:t>Friday 18 July 2014</w:t>
      </w:r>
      <w:r w:rsidRPr="006F225E">
        <w:rPr>
          <w:rFonts w:asciiTheme="minorHAnsi" w:hAnsiTheme="minorHAnsi" w:cstheme="minorHAnsi"/>
          <w:sz w:val="22"/>
          <w:szCs w:val="22"/>
          <w:highlight w:val="yellow"/>
        </w:rPr>
        <w:t>, via:</w:t>
      </w:r>
    </w:p>
    <w:p w:rsidR="004E3A8C" w:rsidRPr="006F225E" w:rsidRDefault="00B839C7" w:rsidP="00222271">
      <w:pPr>
        <w:numPr>
          <w:ilvl w:val="0"/>
          <w:numId w:val="25"/>
        </w:numPr>
        <w:spacing w:before="120" w:after="240" w:line="220" w:lineRule="atLeast"/>
        <w:contextualSpacing/>
        <w:jc w:val="both"/>
        <w:rPr>
          <w:rFonts w:asciiTheme="minorHAnsi" w:hAnsiTheme="minorHAnsi" w:cstheme="minorHAnsi"/>
          <w:b/>
          <w:sz w:val="22"/>
          <w:szCs w:val="22"/>
        </w:rPr>
      </w:pPr>
      <w:r w:rsidRPr="006F225E">
        <w:rPr>
          <w:rFonts w:asciiTheme="minorHAnsi" w:hAnsiTheme="minorHAnsi" w:cstheme="minorHAnsi"/>
          <w:b/>
          <w:sz w:val="22"/>
          <w:szCs w:val="22"/>
        </w:rPr>
        <w:t xml:space="preserve">Internet </w:t>
      </w:r>
      <w:r w:rsidRPr="00222271">
        <w:rPr>
          <w:rFonts w:asciiTheme="minorHAnsi" w:hAnsiTheme="minorHAnsi" w:cstheme="minorHAnsi"/>
          <w:sz w:val="22"/>
          <w:szCs w:val="22"/>
        </w:rPr>
        <w:t xml:space="preserve">via </w:t>
      </w:r>
      <w:r w:rsidR="00222271">
        <w:rPr>
          <w:rFonts w:asciiTheme="minorHAnsi" w:hAnsiTheme="minorHAnsi" w:cstheme="minorHAnsi"/>
          <w:sz w:val="22"/>
          <w:szCs w:val="22"/>
        </w:rPr>
        <w:t xml:space="preserve">the </w:t>
      </w:r>
      <w:r w:rsidRPr="00222271">
        <w:rPr>
          <w:rFonts w:asciiTheme="minorHAnsi" w:hAnsiTheme="minorHAnsi" w:cstheme="minorHAnsi"/>
          <w:sz w:val="22"/>
          <w:szCs w:val="22"/>
        </w:rPr>
        <w:t>ACCC</w:t>
      </w:r>
      <w:r w:rsidRPr="006F225E">
        <w:rPr>
          <w:rFonts w:asciiTheme="minorHAnsi" w:hAnsiTheme="minorHAnsi" w:cstheme="minorHAnsi"/>
          <w:b/>
          <w:sz w:val="22"/>
          <w:szCs w:val="22"/>
        </w:rPr>
        <w:t xml:space="preserve"> </w:t>
      </w:r>
      <w:hyperlink r:id="rId15" w:history="1">
        <w:r w:rsidR="00222271" w:rsidRPr="00222271">
          <w:rPr>
            <w:rStyle w:val="Hyperlink"/>
            <w:rFonts w:asciiTheme="minorHAnsi" w:hAnsiTheme="minorHAnsi" w:cstheme="minorHAnsi"/>
            <w:sz w:val="22"/>
            <w:szCs w:val="22"/>
          </w:rPr>
          <w:t>Consultation</w:t>
        </w:r>
      </w:hyperlink>
      <w:r w:rsidR="00222271">
        <w:rPr>
          <w:rFonts w:asciiTheme="minorHAnsi" w:hAnsiTheme="minorHAnsi" w:cstheme="minorHAnsi"/>
          <w:sz w:val="22"/>
          <w:szCs w:val="22"/>
        </w:rPr>
        <w:t xml:space="preserve"> </w:t>
      </w:r>
      <w:r w:rsidR="00222271" w:rsidRPr="00222271">
        <w:rPr>
          <w:rFonts w:asciiTheme="minorHAnsi" w:hAnsiTheme="minorHAnsi" w:cstheme="minorHAnsi"/>
          <w:sz w:val="22"/>
          <w:szCs w:val="22"/>
        </w:rPr>
        <w:t>hub</w:t>
      </w:r>
      <w:r w:rsidR="00222271">
        <w:rPr>
          <w:rFonts w:asciiTheme="minorHAnsi" w:hAnsiTheme="minorHAnsi" w:cstheme="minorHAnsi"/>
          <w:sz w:val="22"/>
          <w:szCs w:val="22"/>
        </w:rPr>
        <w:t xml:space="preserve"> (</w:t>
      </w:r>
      <w:r w:rsidR="00222271" w:rsidRPr="00222271">
        <w:rPr>
          <w:rFonts w:ascii="Calibri" w:hAnsi="Calibri" w:cs="Calibri"/>
          <w:sz w:val="22"/>
          <w:szCs w:val="22"/>
        </w:rPr>
        <w:t>https://consultation.accc.gov.au/</w:t>
      </w:r>
      <w:r w:rsidR="00222271">
        <w:rPr>
          <w:rFonts w:asciiTheme="minorHAnsi" w:hAnsiTheme="minorHAnsi" w:cstheme="minorHAnsi"/>
          <w:sz w:val="22"/>
          <w:szCs w:val="22"/>
        </w:rPr>
        <w:t>)</w:t>
      </w:r>
      <w:r w:rsidR="00222271">
        <w:rPr>
          <w:rFonts w:asciiTheme="minorHAnsi" w:hAnsiTheme="minorHAnsi" w:cstheme="minorHAnsi"/>
          <w:b/>
          <w:sz w:val="22"/>
          <w:szCs w:val="22"/>
        </w:rPr>
        <w:t>.</w:t>
      </w:r>
    </w:p>
    <w:p w:rsidR="00AC56F7" w:rsidRPr="006F225E" w:rsidRDefault="004E3A8C" w:rsidP="006F225E">
      <w:pPr>
        <w:numPr>
          <w:ilvl w:val="0"/>
          <w:numId w:val="25"/>
        </w:numPr>
        <w:spacing w:before="120" w:after="240" w:line="220" w:lineRule="atLeast"/>
        <w:contextualSpacing/>
        <w:jc w:val="both"/>
        <w:rPr>
          <w:rFonts w:asciiTheme="minorHAnsi" w:hAnsiTheme="minorHAnsi" w:cstheme="minorHAnsi"/>
          <w:sz w:val="22"/>
          <w:szCs w:val="22"/>
        </w:rPr>
      </w:pPr>
      <w:r w:rsidRPr="006F225E">
        <w:rPr>
          <w:rFonts w:asciiTheme="minorHAnsi" w:hAnsiTheme="minorHAnsi" w:cstheme="minorHAnsi"/>
          <w:b/>
          <w:sz w:val="22"/>
          <w:szCs w:val="22"/>
        </w:rPr>
        <w:t>Email:</w:t>
      </w:r>
      <w:r w:rsidRPr="006F225E">
        <w:rPr>
          <w:rFonts w:asciiTheme="minorHAnsi" w:hAnsiTheme="minorHAnsi" w:cstheme="minorHAnsi"/>
          <w:sz w:val="22"/>
          <w:szCs w:val="22"/>
        </w:rPr>
        <w:t xml:space="preserve">  </w:t>
      </w:r>
      <w:hyperlink r:id="rId16" w:history="1">
        <w:r w:rsidR="00AC56F7" w:rsidRPr="006F225E">
          <w:rPr>
            <w:rStyle w:val="Hyperlink"/>
            <w:rFonts w:asciiTheme="minorHAnsi" w:hAnsiTheme="minorHAnsi" w:cstheme="minorHAnsi"/>
            <w:color w:val="auto"/>
            <w:sz w:val="22"/>
            <w:szCs w:val="22"/>
          </w:rPr>
          <w:t>productsafety.regulation@accc.gov.au</w:t>
        </w:r>
      </w:hyperlink>
    </w:p>
    <w:p w:rsidR="004E3A8C" w:rsidRPr="006F225E" w:rsidRDefault="004E3A8C" w:rsidP="006F225E">
      <w:pPr>
        <w:keepNext/>
        <w:numPr>
          <w:ilvl w:val="0"/>
          <w:numId w:val="25"/>
        </w:numPr>
        <w:spacing w:before="120" w:after="240" w:line="220" w:lineRule="atLeast"/>
        <w:contextualSpacing/>
        <w:jc w:val="both"/>
        <w:rPr>
          <w:rFonts w:asciiTheme="minorHAnsi" w:hAnsiTheme="minorHAnsi" w:cstheme="minorHAnsi"/>
          <w:b/>
          <w:sz w:val="22"/>
          <w:szCs w:val="22"/>
        </w:rPr>
      </w:pPr>
      <w:r w:rsidRPr="006F225E">
        <w:rPr>
          <w:rFonts w:asciiTheme="minorHAnsi" w:hAnsiTheme="minorHAnsi" w:cstheme="minorHAnsi"/>
          <w:b/>
          <w:sz w:val="22"/>
          <w:szCs w:val="22"/>
        </w:rPr>
        <w:t xml:space="preserve">Post: </w:t>
      </w:r>
    </w:p>
    <w:p w:rsidR="00AC56F7" w:rsidRPr="006F225E" w:rsidRDefault="00AC56F7" w:rsidP="006F225E">
      <w:pPr>
        <w:keepNext/>
        <w:spacing w:before="120" w:after="240" w:line="220" w:lineRule="atLeast"/>
        <w:ind w:left="1440"/>
        <w:contextualSpacing/>
        <w:jc w:val="both"/>
        <w:rPr>
          <w:rFonts w:asciiTheme="minorHAnsi" w:hAnsiTheme="minorHAnsi" w:cstheme="minorHAnsi"/>
          <w:sz w:val="22"/>
          <w:szCs w:val="22"/>
        </w:rPr>
      </w:pPr>
      <w:r w:rsidRPr="006F225E">
        <w:rPr>
          <w:rFonts w:asciiTheme="minorHAnsi" w:hAnsiTheme="minorHAnsi" w:cstheme="minorHAnsi"/>
          <w:sz w:val="22"/>
          <w:szCs w:val="22"/>
        </w:rPr>
        <w:t>Director</w:t>
      </w:r>
    </w:p>
    <w:p w:rsidR="00AC56F7" w:rsidRPr="006F225E" w:rsidRDefault="004E3A8C" w:rsidP="006F225E">
      <w:pPr>
        <w:keepNext/>
        <w:spacing w:before="120" w:after="240" w:line="220" w:lineRule="atLeast"/>
        <w:ind w:left="1440"/>
        <w:contextualSpacing/>
        <w:jc w:val="both"/>
        <w:rPr>
          <w:rFonts w:asciiTheme="minorHAnsi" w:hAnsiTheme="minorHAnsi" w:cstheme="minorHAnsi"/>
          <w:sz w:val="22"/>
          <w:szCs w:val="22"/>
        </w:rPr>
      </w:pPr>
      <w:r w:rsidRPr="006F225E">
        <w:rPr>
          <w:rFonts w:asciiTheme="minorHAnsi" w:hAnsiTheme="minorHAnsi" w:cstheme="minorHAnsi"/>
          <w:sz w:val="22"/>
          <w:szCs w:val="22"/>
        </w:rPr>
        <w:t xml:space="preserve">Recreation and Automotive </w:t>
      </w:r>
      <w:r w:rsidR="00AC56F7" w:rsidRPr="006F225E">
        <w:rPr>
          <w:rFonts w:asciiTheme="minorHAnsi" w:hAnsiTheme="minorHAnsi" w:cstheme="minorHAnsi"/>
          <w:sz w:val="22"/>
          <w:szCs w:val="22"/>
        </w:rPr>
        <w:t>Products</w:t>
      </w:r>
    </w:p>
    <w:p w:rsidR="00AC56F7" w:rsidRPr="006F225E" w:rsidRDefault="00AC56F7" w:rsidP="006F225E">
      <w:pPr>
        <w:keepNext/>
        <w:spacing w:before="120" w:after="240" w:line="220" w:lineRule="atLeast"/>
        <w:ind w:left="1440"/>
        <w:contextualSpacing/>
        <w:jc w:val="both"/>
        <w:rPr>
          <w:rFonts w:asciiTheme="minorHAnsi" w:hAnsiTheme="minorHAnsi" w:cstheme="minorHAnsi"/>
          <w:sz w:val="22"/>
          <w:szCs w:val="22"/>
        </w:rPr>
      </w:pPr>
      <w:r w:rsidRPr="006F225E">
        <w:rPr>
          <w:rFonts w:asciiTheme="minorHAnsi" w:hAnsiTheme="minorHAnsi" w:cstheme="minorHAnsi"/>
          <w:sz w:val="22"/>
          <w:szCs w:val="22"/>
        </w:rPr>
        <w:t>Product Safety Branch</w:t>
      </w:r>
    </w:p>
    <w:p w:rsidR="00AC56F7" w:rsidRPr="006F225E" w:rsidRDefault="00AC56F7" w:rsidP="006F225E">
      <w:pPr>
        <w:keepNext/>
        <w:spacing w:before="120" w:after="240" w:line="220" w:lineRule="atLeast"/>
        <w:ind w:left="1440"/>
        <w:contextualSpacing/>
        <w:jc w:val="both"/>
        <w:rPr>
          <w:rFonts w:asciiTheme="minorHAnsi" w:hAnsiTheme="minorHAnsi" w:cstheme="minorHAnsi"/>
          <w:sz w:val="22"/>
          <w:szCs w:val="22"/>
        </w:rPr>
      </w:pPr>
      <w:r w:rsidRPr="006F225E">
        <w:rPr>
          <w:rFonts w:asciiTheme="minorHAnsi" w:hAnsiTheme="minorHAnsi" w:cstheme="minorHAnsi"/>
          <w:sz w:val="22"/>
          <w:szCs w:val="22"/>
        </w:rPr>
        <w:t>Australian Competition and Consumer Commission</w:t>
      </w:r>
    </w:p>
    <w:p w:rsidR="00AC56F7" w:rsidRPr="006F225E" w:rsidRDefault="00AC56F7" w:rsidP="006F225E">
      <w:pPr>
        <w:keepNext/>
        <w:spacing w:before="120" w:after="240" w:line="220" w:lineRule="atLeast"/>
        <w:ind w:left="1440"/>
        <w:contextualSpacing/>
        <w:jc w:val="both"/>
        <w:rPr>
          <w:rFonts w:asciiTheme="minorHAnsi" w:hAnsiTheme="minorHAnsi" w:cstheme="minorHAnsi"/>
          <w:sz w:val="22"/>
          <w:szCs w:val="22"/>
        </w:rPr>
      </w:pPr>
      <w:r w:rsidRPr="006F225E">
        <w:rPr>
          <w:rFonts w:asciiTheme="minorHAnsi" w:hAnsiTheme="minorHAnsi" w:cstheme="minorHAnsi"/>
          <w:sz w:val="22"/>
          <w:szCs w:val="22"/>
        </w:rPr>
        <w:t>GPO Box 3131</w:t>
      </w:r>
    </w:p>
    <w:p w:rsidR="00AC56F7" w:rsidRPr="006F225E" w:rsidRDefault="00AC56F7" w:rsidP="006F225E">
      <w:pPr>
        <w:spacing w:before="120" w:after="240" w:line="220" w:lineRule="atLeast"/>
        <w:ind w:left="1440"/>
        <w:contextualSpacing/>
        <w:jc w:val="both"/>
        <w:rPr>
          <w:rFonts w:asciiTheme="minorHAnsi" w:hAnsiTheme="minorHAnsi" w:cstheme="minorHAnsi"/>
          <w:sz w:val="22"/>
          <w:szCs w:val="22"/>
        </w:rPr>
      </w:pPr>
      <w:r w:rsidRPr="006F225E">
        <w:rPr>
          <w:rFonts w:asciiTheme="minorHAnsi" w:hAnsiTheme="minorHAnsi" w:cstheme="minorHAnsi"/>
          <w:sz w:val="22"/>
          <w:szCs w:val="22"/>
        </w:rPr>
        <w:t>CANBERRA   ACT   2601</w:t>
      </w:r>
    </w:p>
    <w:p w:rsidR="00AC56F7" w:rsidRDefault="00AC56F7" w:rsidP="006F225E">
      <w:pPr>
        <w:spacing w:before="36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If the information provided is of a </w:t>
      </w:r>
      <w:r w:rsidR="004E3A8C" w:rsidRPr="006F225E">
        <w:rPr>
          <w:rFonts w:asciiTheme="minorHAnsi" w:hAnsiTheme="minorHAnsi" w:cstheme="minorHAnsi"/>
          <w:sz w:val="22"/>
          <w:szCs w:val="22"/>
        </w:rPr>
        <w:t xml:space="preserve">confidential nature </w:t>
      </w:r>
      <w:r w:rsidRPr="006F225E">
        <w:rPr>
          <w:rFonts w:asciiTheme="minorHAnsi" w:hAnsiTheme="minorHAnsi" w:cstheme="minorHAnsi"/>
          <w:sz w:val="22"/>
          <w:szCs w:val="22"/>
        </w:rPr>
        <w:t>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which you believe to be of a confidential nature should be clearly marked or identified as confidential.</w:t>
      </w:r>
    </w:p>
    <w:p w:rsidR="00AC56F7" w:rsidRPr="006F225E" w:rsidRDefault="00AC56F7" w:rsidP="006F225E">
      <w:pPr>
        <w:spacing w:before="120" w:after="240" w:line="220" w:lineRule="atLeast"/>
        <w:jc w:val="both"/>
        <w:rPr>
          <w:rFonts w:asciiTheme="minorHAnsi" w:hAnsiTheme="minorHAnsi" w:cstheme="minorHAnsi"/>
          <w:sz w:val="22"/>
          <w:szCs w:val="22"/>
        </w:rPr>
      </w:pPr>
      <w:r w:rsidRPr="006F225E">
        <w:rPr>
          <w:rFonts w:asciiTheme="minorHAnsi" w:hAnsiTheme="minorHAnsi" w:cstheme="minorHAnsi"/>
          <w:sz w:val="22"/>
          <w:szCs w:val="22"/>
        </w:rPr>
        <w:t xml:space="preserve">The ACCC may be compelled by law to disclose submissions (for example under subpoena or following a request under the </w:t>
      </w:r>
      <w:r w:rsidRPr="006F225E">
        <w:rPr>
          <w:rFonts w:asciiTheme="minorHAnsi" w:hAnsiTheme="minorHAnsi" w:cstheme="minorHAnsi"/>
          <w:i/>
          <w:sz w:val="22"/>
          <w:szCs w:val="22"/>
        </w:rPr>
        <w:t>Freedom of Information Act 1982</w:t>
      </w:r>
      <w:r w:rsidRPr="006F225E">
        <w:rPr>
          <w:rFonts w:asciiTheme="minorHAnsi" w:hAnsiTheme="minorHAnsi" w:cstheme="minorHAnsi"/>
          <w:sz w:val="22"/>
          <w:szCs w:val="22"/>
        </w:rPr>
        <w:t xml:space="preserve">). For more information see the ACCC-AER Information Policy available via </w:t>
      </w:r>
      <w:hyperlink r:id="rId17" w:history="1">
        <w:r w:rsidRPr="006F225E">
          <w:rPr>
            <w:rStyle w:val="Hyperlink"/>
            <w:rFonts w:asciiTheme="minorHAnsi" w:hAnsiTheme="minorHAnsi" w:cstheme="minorHAnsi"/>
            <w:color w:val="auto"/>
            <w:sz w:val="22"/>
            <w:szCs w:val="22"/>
          </w:rPr>
          <w:t>www.accc.gov.au</w:t>
        </w:r>
      </w:hyperlink>
      <w:r w:rsidR="00340E0A">
        <w:rPr>
          <w:rStyle w:val="Hyperlink"/>
          <w:rFonts w:asciiTheme="minorHAnsi" w:hAnsiTheme="minorHAnsi" w:cstheme="minorHAnsi"/>
          <w:color w:val="auto"/>
          <w:sz w:val="22"/>
          <w:szCs w:val="22"/>
        </w:rPr>
        <w:t>.</w:t>
      </w:r>
    </w:p>
    <w:p w:rsidR="009A083E" w:rsidRDefault="009A083E" w:rsidP="00515996">
      <w:pPr>
        <w:spacing w:before="120" w:after="240" w:line="220" w:lineRule="atLeast"/>
        <w:rPr>
          <w:rFonts w:asciiTheme="minorHAnsi" w:hAnsiTheme="minorHAnsi" w:cstheme="minorHAnsi"/>
          <w:sz w:val="22"/>
          <w:szCs w:val="22"/>
        </w:rPr>
      </w:pPr>
    </w:p>
    <w:p w:rsidR="00AC56F7" w:rsidRDefault="00222271" w:rsidP="00515996">
      <w:pPr>
        <w:spacing w:before="120" w:after="240" w:line="220" w:lineRule="atLeast"/>
        <w:rPr>
          <w:rFonts w:asciiTheme="minorHAnsi" w:hAnsiTheme="minorHAnsi" w:cstheme="minorHAnsi"/>
          <w:color w:val="1F497D"/>
          <w:sz w:val="22"/>
          <w:szCs w:val="22"/>
        </w:rPr>
      </w:pPr>
      <w:r w:rsidRPr="00515996">
        <w:rPr>
          <w:rFonts w:asciiTheme="minorHAnsi" w:hAnsiTheme="minorHAnsi" w:cstheme="minorHAnsi"/>
          <w:sz w:val="22"/>
          <w:szCs w:val="22"/>
        </w:rPr>
        <w:t xml:space="preserve">Word and PDF copies of this Consultation Paper can be found </w:t>
      </w:r>
      <w:r w:rsidR="009A083E">
        <w:rPr>
          <w:rFonts w:asciiTheme="minorHAnsi" w:hAnsiTheme="minorHAnsi" w:cstheme="minorHAnsi"/>
          <w:sz w:val="22"/>
          <w:szCs w:val="22"/>
        </w:rPr>
        <w:t xml:space="preserve">on the Product Safety Australia website </w:t>
      </w:r>
      <w:r w:rsidRPr="00515996">
        <w:rPr>
          <w:rFonts w:asciiTheme="minorHAnsi" w:hAnsiTheme="minorHAnsi" w:cstheme="minorHAnsi"/>
          <w:sz w:val="22"/>
          <w:szCs w:val="22"/>
        </w:rPr>
        <w:t>at</w:t>
      </w:r>
      <w:r w:rsidRPr="00222271">
        <w:rPr>
          <w:rFonts w:asciiTheme="minorHAnsi" w:hAnsiTheme="minorHAnsi" w:cstheme="minorHAnsi"/>
          <w:sz w:val="22"/>
          <w:szCs w:val="22"/>
        </w:rPr>
        <w:t xml:space="preserve">: </w:t>
      </w:r>
      <w:hyperlink r:id="rId18" w:history="1">
        <w:r w:rsidRPr="00515996">
          <w:rPr>
            <w:rStyle w:val="Hyperlink"/>
            <w:rFonts w:asciiTheme="minorHAnsi" w:hAnsiTheme="minorHAnsi" w:cstheme="minorHAnsi"/>
            <w:sz w:val="22"/>
            <w:szCs w:val="22"/>
          </w:rPr>
          <w:t>http://www.productsafety.gov.au/content/index.phtml/itemId/1007885</w:t>
        </w:r>
      </w:hyperlink>
      <w:r w:rsidR="009A083E">
        <w:rPr>
          <w:rFonts w:asciiTheme="minorHAnsi" w:hAnsiTheme="minorHAnsi" w:cstheme="minorHAnsi"/>
          <w:color w:val="1F497D"/>
          <w:sz w:val="22"/>
          <w:szCs w:val="22"/>
        </w:rPr>
        <w:t>.</w:t>
      </w:r>
    </w:p>
    <w:p w:rsidR="00515996" w:rsidRPr="00515996" w:rsidRDefault="00515996" w:rsidP="00515996">
      <w:pPr>
        <w:spacing w:before="120" w:after="240" w:line="220" w:lineRule="atLeast"/>
        <w:rPr>
          <w:rFonts w:asciiTheme="minorHAnsi" w:hAnsiTheme="minorHAnsi" w:cstheme="minorHAnsi"/>
          <w:sz w:val="22"/>
          <w:szCs w:val="22"/>
        </w:rPr>
      </w:pPr>
    </w:p>
    <w:sectPr w:rsidR="00515996" w:rsidRPr="00515996" w:rsidSect="00AC56F7">
      <w:pgSz w:w="11909" w:h="16834" w:code="9"/>
      <w:pgMar w:top="1440" w:right="1440" w:bottom="1440" w:left="1440" w:header="794" w:footer="144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7D" w:rsidRDefault="00C9017D" w:rsidP="003442EC">
      <w:r>
        <w:separator/>
      </w:r>
    </w:p>
  </w:endnote>
  <w:endnote w:type="continuationSeparator" w:id="0">
    <w:p w:rsidR="00C9017D" w:rsidRDefault="00C9017D" w:rsidP="003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D" w:rsidRDefault="00C90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17D" w:rsidRDefault="00C901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D" w:rsidRDefault="00C9017D">
    <w:pPr>
      <w:pStyle w:val="Footer"/>
      <w:jc w:val="center"/>
    </w:pPr>
    <w:r>
      <w:fldChar w:fldCharType="begin"/>
    </w:r>
    <w:r>
      <w:instrText xml:space="preserve"> PAGE   \* MERGEFORMAT </w:instrText>
    </w:r>
    <w:r>
      <w:fldChar w:fldCharType="separate"/>
    </w:r>
    <w:r w:rsidR="00DD52B5">
      <w:rPr>
        <w:noProof/>
      </w:rPr>
      <w:t>- 11 -</w:t>
    </w:r>
    <w:r>
      <w:fldChar w:fldCharType="end"/>
    </w:r>
  </w:p>
  <w:p w:rsidR="00C9017D" w:rsidRDefault="00C90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7D" w:rsidRDefault="00C9017D" w:rsidP="003442EC">
      <w:r>
        <w:separator/>
      </w:r>
    </w:p>
  </w:footnote>
  <w:footnote w:type="continuationSeparator" w:id="0">
    <w:p w:rsidR="00C9017D" w:rsidRDefault="00C9017D" w:rsidP="003442EC">
      <w:r>
        <w:continuationSeparator/>
      </w:r>
    </w:p>
  </w:footnote>
  <w:footnote w:id="1">
    <w:p w:rsidR="00C10477" w:rsidRPr="00A5341E" w:rsidRDefault="00C10477" w:rsidP="00A5341E">
      <w:pPr>
        <w:pStyle w:val="FootnoteText"/>
        <w:spacing w:line="160" w:lineRule="atLeast"/>
        <w:rPr>
          <w:rFonts w:asciiTheme="minorHAnsi" w:hAnsiTheme="minorHAnsi" w:cstheme="minorHAnsi"/>
          <w:sz w:val="18"/>
          <w:szCs w:val="18"/>
          <w:lang w:val="en-AU"/>
        </w:rPr>
      </w:pPr>
      <w:r w:rsidRPr="00C10477">
        <w:rPr>
          <w:rStyle w:val="FootnoteReference"/>
          <w:rFonts w:asciiTheme="minorHAnsi" w:hAnsiTheme="minorHAnsi" w:cstheme="minorHAnsi"/>
          <w:sz w:val="18"/>
          <w:szCs w:val="18"/>
        </w:rPr>
        <w:footnoteRef/>
      </w:r>
      <w:r w:rsidRPr="00C10477">
        <w:rPr>
          <w:rFonts w:asciiTheme="minorHAnsi" w:hAnsiTheme="minorHAnsi" w:cstheme="minorHAnsi"/>
          <w:sz w:val="18"/>
          <w:szCs w:val="18"/>
        </w:rPr>
        <w:t xml:space="preserve"> </w:t>
      </w:r>
      <w:r w:rsidRPr="00817387">
        <w:rPr>
          <w:rFonts w:asciiTheme="minorHAnsi" w:hAnsiTheme="minorHAnsi" w:cstheme="minorHAnsi"/>
          <w:sz w:val="18"/>
          <w:szCs w:val="18"/>
        </w:rPr>
        <w:t xml:space="preserve">The Commonwealth Minister who administers Part XI of the </w:t>
      </w:r>
      <w:r w:rsidRPr="00817387">
        <w:rPr>
          <w:rFonts w:asciiTheme="minorHAnsi" w:hAnsiTheme="minorHAnsi" w:cstheme="minorHAnsi"/>
          <w:i/>
          <w:sz w:val="18"/>
          <w:szCs w:val="18"/>
        </w:rPr>
        <w:t>Competition and Consumer Act 2010</w:t>
      </w:r>
      <w:r w:rsidRPr="00817387">
        <w:rPr>
          <w:rFonts w:asciiTheme="minorHAnsi" w:hAnsiTheme="minorHAnsi" w:cstheme="minorHAnsi"/>
          <w:sz w:val="18"/>
          <w:szCs w:val="18"/>
        </w:rPr>
        <w:t xml:space="preserve"> is referred to as the Commonwealth Minister through</w:t>
      </w:r>
      <w:r w:rsidRPr="00A5341E">
        <w:rPr>
          <w:rFonts w:asciiTheme="minorHAnsi" w:hAnsiTheme="minorHAnsi" w:cstheme="minorHAnsi"/>
          <w:sz w:val="18"/>
          <w:szCs w:val="18"/>
        </w:rPr>
        <w:t>out this paper.</w:t>
      </w:r>
    </w:p>
  </w:footnote>
  <w:footnote w:id="2">
    <w:p w:rsidR="00C10477" w:rsidRPr="00817387" w:rsidRDefault="00C10477" w:rsidP="00A5341E">
      <w:pPr>
        <w:pStyle w:val="FootnoteText"/>
        <w:spacing w:line="160" w:lineRule="atLeast"/>
        <w:rPr>
          <w:rFonts w:asciiTheme="minorHAnsi" w:hAnsiTheme="minorHAnsi" w:cstheme="minorHAnsi"/>
          <w:sz w:val="18"/>
          <w:szCs w:val="18"/>
          <w:lang w:val="en-AU"/>
        </w:rPr>
      </w:pPr>
      <w:r w:rsidRPr="00817387">
        <w:rPr>
          <w:rStyle w:val="FootnoteReference"/>
          <w:rFonts w:asciiTheme="minorHAnsi" w:hAnsiTheme="minorHAnsi" w:cstheme="minorHAnsi"/>
          <w:sz w:val="18"/>
          <w:szCs w:val="18"/>
        </w:rPr>
        <w:footnoteRef/>
      </w:r>
      <w:r w:rsidRPr="00817387">
        <w:rPr>
          <w:rFonts w:asciiTheme="minorHAnsi" w:hAnsiTheme="minorHAnsi" w:cstheme="minorHAnsi"/>
          <w:sz w:val="18"/>
          <w:szCs w:val="18"/>
        </w:rPr>
        <w:t xml:space="preserve"> </w:t>
      </w:r>
      <w:r w:rsidRPr="00817387">
        <w:rPr>
          <w:rFonts w:asciiTheme="minorHAnsi" w:hAnsiTheme="minorHAnsi" w:cstheme="minorHAnsi"/>
          <w:sz w:val="18"/>
          <w:szCs w:val="18"/>
          <w:lang w:val="en-AU"/>
        </w:rPr>
        <w:t>For more detailed explanation see Section 5</w:t>
      </w:r>
    </w:p>
  </w:footnote>
  <w:footnote w:id="3">
    <w:p w:rsidR="00817387" w:rsidRPr="00C811E9" w:rsidRDefault="00817387" w:rsidP="00A5341E">
      <w:pPr>
        <w:pStyle w:val="FootnoteText"/>
        <w:spacing w:line="160" w:lineRule="atLeast"/>
        <w:rPr>
          <w:rFonts w:asciiTheme="minorHAnsi" w:hAnsiTheme="minorHAnsi" w:cstheme="minorHAnsi"/>
          <w:sz w:val="18"/>
          <w:szCs w:val="18"/>
          <w:lang w:val="en-AU"/>
        </w:rPr>
      </w:pPr>
      <w:r w:rsidRPr="00817387">
        <w:rPr>
          <w:rStyle w:val="FootnoteReference"/>
          <w:rFonts w:asciiTheme="minorHAnsi" w:hAnsiTheme="minorHAnsi" w:cstheme="minorHAnsi"/>
          <w:sz w:val="18"/>
          <w:szCs w:val="18"/>
        </w:rPr>
        <w:footnoteRef/>
      </w:r>
      <w:r w:rsidRPr="00817387">
        <w:rPr>
          <w:rFonts w:asciiTheme="minorHAnsi" w:hAnsiTheme="minorHAnsi" w:cstheme="minorHAnsi"/>
          <w:sz w:val="18"/>
          <w:szCs w:val="18"/>
        </w:rPr>
        <w:t xml:space="preserve"> </w:t>
      </w:r>
      <w:r w:rsidRPr="00817387">
        <w:rPr>
          <w:rFonts w:asciiTheme="minorHAnsi" w:hAnsiTheme="minorHAnsi" w:cstheme="minorHAnsi"/>
          <w:sz w:val="18"/>
          <w:szCs w:val="18"/>
          <w:lang w:val="en-AU"/>
        </w:rPr>
        <w:t xml:space="preserve">In the case of child restraints this Australian Standard is AS/NZS 1754 </w:t>
      </w:r>
      <w:r w:rsidRPr="000615E3">
        <w:rPr>
          <w:rFonts w:asciiTheme="minorHAnsi" w:eastAsia="Calibri" w:hAnsiTheme="minorHAnsi" w:cstheme="minorHAnsi"/>
          <w:i/>
          <w:sz w:val="18"/>
          <w:szCs w:val="18"/>
          <w:lang w:val="en-AU" w:eastAsia="en-US"/>
        </w:rPr>
        <w:t xml:space="preserve">Child </w:t>
      </w:r>
      <w:r w:rsidRPr="000615E3">
        <w:rPr>
          <w:rFonts w:asciiTheme="minorHAnsi" w:eastAsia="Calibri" w:hAnsiTheme="minorHAnsi" w:cstheme="minorHAnsi"/>
          <w:i/>
          <w:color w:val="333333"/>
          <w:sz w:val="18"/>
          <w:szCs w:val="18"/>
          <w:lang w:val="en-AU" w:eastAsia="en-US"/>
        </w:rPr>
        <w:t>r</w:t>
      </w:r>
      <w:r w:rsidRPr="00817387">
        <w:rPr>
          <w:rFonts w:asciiTheme="minorHAnsi" w:eastAsia="Calibri" w:hAnsiTheme="minorHAnsi" w:cstheme="minorHAnsi"/>
          <w:i/>
          <w:color w:val="333333"/>
          <w:sz w:val="18"/>
          <w:szCs w:val="18"/>
          <w:lang w:val="en-AU" w:eastAsia="en-US"/>
        </w:rPr>
        <w:t xml:space="preserve">estraint systems for use in motor vehicles. </w:t>
      </w:r>
      <w:r w:rsidRPr="000615E3">
        <w:rPr>
          <w:rFonts w:asciiTheme="minorHAnsi" w:eastAsia="Calibri" w:hAnsiTheme="minorHAnsi" w:cstheme="minorHAnsi"/>
          <w:i/>
          <w:color w:val="333333"/>
          <w:sz w:val="18"/>
          <w:szCs w:val="18"/>
          <w:lang w:val="en-AU" w:eastAsia="en-US"/>
        </w:rPr>
        <w:t xml:space="preserve"> </w:t>
      </w:r>
      <w:r w:rsidRPr="000615E3">
        <w:rPr>
          <w:rFonts w:asciiTheme="minorHAnsi" w:eastAsia="Calibri" w:hAnsiTheme="minorHAnsi" w:cstheme="minorHAnsi"/>
          <w:color w:val="333333"/>
          <w:sz w:val="18"/>
          <w:szCs w:val="18"/>
          <w:lang w:val="en-AU" w:eastAsia="en-US"/>
        </w:rPr>
        <w:t>It is referred to as AS/NZS 1754 throughout this paper</w:t>
      </w:r>
      <w:r w:rsidR="009C0A2C" w:rsidRPr="000615E3">
        <w:rPr>
          <w:rFonts w:asciiTheme="minorHAnsi" w:eastAsia="Calibri" w:hAnsiTheme="minorHAnsi" w:cstheme="minorHAnsi"/>
          <w:color w:val="333333"/>
          <w:sz w:val="18"/>
          <w:szCs w:val="18"/>
          <w:lang w:val="en-AU" w:eastAsia="en-US"/>
        </w:rPr>
        <w:t>.</w:t>
      </w:r>
    </w:p>
  </w:footnote>
  <w:footnote w:id="4">
    <w:p w:rsidR="00817387" w:rsidRPr="00A5341E" w:rsidRDefault="00817387" w:rsidP="00A5341E">
      <w:pPr>
        <w:spacing w:line="160" w:lineRule="atLeast"/>
        <w:rPr>
          <w:rFonts w:asciiTheme="minorHAnsi" w:hAnsiTheme="minorHAnsi" w:cstheme="minorHAnsi"/>
          <w:sz w:val="18"/>
          <w:szCs w:val="18"/>
        </w:rPr>
      </w:pPr>
      <w:r w:rsidRPr="00A5341E">
        <w:rPr>
          <w:rStyle w:val="FootnoteReference"/>
          <w:rFonts w:asciiTheme="minorHAnsi" w:hAnsiTheme="minorHAnsi" w:cstheme="minorHAnsi"/>
          <w:sz w:val="18"/>
          <w:szCs w:val="18"/>
        </w:rPr>
        <w:footnoteRef/>
      </w:r>
      <w:r w:rsidRPr="00A5341E">
        <w:rPr>
          <w:rFonts w:asciiTheme="minorHAnsi" w:hAnsiTheme="minorHAnsi" w:cstheme="minorHAnsi"/>
          <w:sz w:val="18"/>
          <w:szCs w:val="18"/>
        </w:rPr>
        <w:t xml:space="preserve"> In line with usual practice the ACCC released a Consultation Paper </w:t>
      </w:r>
      <w:r>
        <w:rPr>
          <w:rFonts w:asciiTheme="minorHAnsi" w:hAnsiTheme="minorHAnsi" w:cstheme="minorHAnsi"/>
          <w:sz w:val="18"/>
          <w:szCs w:val="18"/>
        </w:rPr>
        <w:t xml:space="preserve">to facilitate the review of the safety standard for child restraint systems for use in a motor vehicle </w:t>
      </w:r>
      <w:r w:rsidRPr="00A5341E">
        <w:rPr>
          <w:rFonts w:asciiTheme="minorHAnsi" w:hAnsiTheme="minorHAnsi" w:cstheme="minorHAnsi"/>
          <w:sz w:val="18"/>
          <w:szCs w:val="18"/>
        </w:rPr>
        <w:t>in November 2013 to seek public comment on proposed changes to the mandatory product safety standard.</w:t>
      </w:r>
      <w:r w:rsidRPr="00A5341E" w:rsidDel="00D707FF">
        <w:rPr>
          <w:rFonts w:asciiTheme="minorHAnsi" w:hAnsiTheme="minorHAnsi" w:cstheme="minorHAnsi"/>
          <w:sz w:val="18"/>
          <w:szCs w:val="18"/>
        </w:rPr>
        <w:t xml:space="preserve"> </w:t>
      </w:r>
      <w:r w:rsidR="00A5341E">
        <w:rPr>
          <w:rFonts w:asciiTheme="minorHAnsi" w:hAnsiTheme="minorHAnsi" w:cstheme="minorHAnsi"/>
          <w:sz w:val="18"/>
          <w:szCs w:val="18"/>
        </w:rPr>
        <w:t xml:space="preserve">The paper can be viewed at </w:t>
      </w:r>
      <w:r w:rsidR="00A5341E" w:rsidRPr="00A5341E">
        <w:rPr>
          <w:rFonts w:ascii="Calibri" w:hAnsi="Calibri" w:cs="Calibri"/>
          <w:sz w:val="18"/>
          <w:szCs w:val="18"/>
        </w:rPr>
        <w:t>http://www.productsafety.gov.au/content/index.phtml/itemId/1004111/fromItemId/973889</w:t>
      </w:r>
    </w:p>
    <w:p w:rsidR="00817387" w:rsidRPr="00A5341E" w:rsidRDefault="00817387">
      <w:pPr>
        <w:pStyle w:val="FootnoteText"/>
        <w:rPr>
          <w:lang w:val="en-AU"/>
        </w:rPr>
      </w:pPr>
    </w:p>
  </w:footnote>
  <w:footnote w:id="5">
    <w:p w:rsidR="003B298D" w:rsidRPr="00AB2D06" w:rsidRDefault="00E01C3E" w:rsidP="00E01C3E">
      <w:pPr>
        <w:pStyle w:val="FootnoteText"/>
        <w:rPr>
          <w:lang w:val="en-AU"/>
        </w:rPr>
      </w:pPr>
      <w:r>
        <w:rPr>
          <w:rStyle w:val="FootnoteReference"/>
        </w:rPr>
        <w:footnoteRef/>
      </w:r>
      <w:r>
        <w:t xml:space="preserve"> </w:t>
      </w:r>
      <w:r>
        <w:rPr>
          <w:lang w:val="en-AU"/>
        </w:rPr>
        <w:tab/>
      </w:r>
      <w:r w:rsidRPr="00C811E9">
        <w:rPr>
          <w:rFonts w:asciiTheme="minorHAnsi" w:hAnsiTheme="minorHAnsi" w:cstheme="minorHAnsi"/>
          <w:sz w:val="18"/>
          <w:szCs w:val="18"/>
          <w:lang w:val="en-AU"/>
          <w:rPrChange w:id="3" w:author="Scott, Ian" w:date="2014-06-24T11:44:00Z">
            <w:rPr>
              <w:sz w:val="18"/>
              <w:szCs w:val="18"/>
              <w:lang w:val="en-AU"/>
            </w:rPr>
          </w:rPrChange>
        </w:rPr>
        <w:t xml:space="preserve">Available: </w:t>
      </w:r>
      <w:r w:rsidR="00DD52B5" w:rsidRPr="00C811E9">
        <w:rPr>
          <w:rFonts w:asciiTheme="minorHAnsi" w:hAnsiTheme="minorHAnsi" w:cstheme="minorHAnsi"/>
          <w:sz w:val="18"/>
          <w:szCs w:val="18"/>
          <w:rPrChange w:id="4" w:author="Scott, Ian" w:date="2014-06-24T11:44:00Z">
            <w:rPr/>
          </w:rPrChange>
        </w:rPr>
        <w:fldChar w:fldCharType="begin"/>
      </w:r>
      <w:r w:rsidR="00DD52B5" w:rsidRPr="00C811E9">
        <w:rPr>
          <w:rFonts w:asciiTheme="minorHAnsi" w:hAnsiTheme="minorHAnsi" w:cstheme="minorHAnsi"/>
          <w:sz w:val="18"/>
          <w:szCs w:val="18"/>
          <w:rPrChange w:id="5" w:author="Scott, Ian" w:date="2014-06-24T11:44:00Z">
            <w:rPr/>
          </w:rPrChange>
        </w:rPr>
        <w:instrText xml:space="preserve"> HYPERLINK "http://www.comlaw.gov.au/Details/F2011L00721" </w:instrText>
      </w:r>
      <w:r w:rsidR="00DD52B5" w:rsidRPr="00C811E9">
        <w:rPr>
          <w:rFonts w:asciiTheme="minorHAnsi" w:hAnsiTheme="minorHAnsi" w:cstheme="minorHAnsi"/>
          <w:sz w:val="18"/>
          <w:szCs w:val="18"/>
          <w:rPrChange w:id="6" w:author="Scott, Ian" w:date="2014-06-24T11:44:00Z">
            <w:rPr/>
          </w:rPrChange>
        </w:rPr>
        <w:fldChar w:fldCharType="separate"/>
      </w:r>
      <w:r w:rsidR="003B298D" w:rsidRPr="00C811E9">
        <w:rPr>
          <w:rStyle w:val="Hyperlink"/>
          <w:rFonts w:asciiTheme="minorHAnsi" w:hAnsiTheme="minorHAnsi" w:cstheme="minorHAnsi"/>
          <w:sz w:val="18"/>
          <w:szCs w:val="18"/>
          <w:lang w:val="en-AU"/>
          <w:rPrChange w:id="7" w:author="Scott, Ian" w:date="2014-06-24T11:44:00Z">
            <w:rPr>
              <w:rStyle w:val="Hyperlink"/>
              <w:sz w:val="18"/>
              <w:szCs w:val="18"/>
              <w:lang w:val="en-AU"/>
            </w:rPr>
          </w:rPrChange>
        </w:rPr>
        <w:t>http://www.comlaw.gov.au/Details/F2011L00721</w:t>
      </w:r>
      <w:r w:rsidR="00DD52B5" w:rsidRPr="00C811E9">
        <w:rPr>
          <w:rStyle w:val="Hyperlink"/>
          <w:rFonts w:asciiTheme="minorHAnsi" w:hAnsiTheme="minorHAnsi" w:cstheme="minorHAnsi"/>
          <w:sz w:val="18"/>
          <w:szCs w:val="18"/>
          <w:lang w:val="en-AU"/>
          <w:rPrChange w:id="8" w:author="Scott, Ian" w:date="2014-06-24T11:44:00Z">
            <w:rPr>
              <w:rStyle w:val="Hyperlink"/>
              <w:sz w:val="18"/>
              <w:szCs w:val="18"/>
              <w:lang w:val="en-AU"/>
            </w:rPr>
          </w:rPrChange>
        </w:rPr>
        <w:fldChar w:fldCharType="end"/>
      </w:r>
      <w:r>
        <w:rPr>
          <w:lang w:val="en-AU"/>
        </w:rPr>
        <w:t>.</w:t>
      </w:r>
    </w:p>
  </w:footnote>
  <w:footnote w:id="6">
    <w:p w:rsidR="00157767" w:rsidRPr="00A5341E" w:rsidRDefault="00157767" w:rsidP="00D707FF">
      <w:pPr>
        <w:pStyle w:val="NormalWeb"/>
        <w:spacing w:before="0" w:beforeAutospacing="0" w:after="0" w:afterAutospacing="0" w:line="160" w:lineRule="atLeast"/>
        <w:jc w:val="both"/>
        <w:rPr>
          <w:rFonts w:asciiTheme="minorHAnsi" w:hAnsiTheme="minorHAnsi" w:cstheme="minorHAnsi"/>
          <w:sz w:val="18"/>
          <w:szCs w:val="18"/>
        </w:rPr>
      </w:pPr>
      <w:r w:rsidRPr="00D707FF">
        <w:rPr>
          <w:rStyle w:val="FootnoteReference"/>
          <w:rFonts w:ascii="Arial" w:hAnsi="Arial" w:cs="Arial"/>
          <w:sz w:val="18"/>
          <w:szCs w:val="18"/>
        </w:rPr>
        <w:footnoteRef/>
      </w:r>
      <w:r w:rsidRPr="00D707FF">
        <w:rPr>
          <w:rFonts w:ascii="Arial" w:hAnsi="Arial" w:cs="Arial"/>
          <w:sz w:val="18"/>
          <w:szCs w:val="18"/>
        </w:rPr>
        <w:t xml:space="preserve"> </w:t>
      </w:r>
      <w:r w:rsidRPr="00A5341E">
        <w:rPr>
          <w:rFonts w:asciiTheme="minorHAnsi" w:hAnsiTheme="minorHAnsi" w:cstheme="minorHAnsi"/>
          <w:b/>
          <w:bCs/>
          <w:sz w:val="18"/>
          <w:szCs w:val="18"/>
          <w:lang w:val="en"/>
        </w:rPr>
        <w:t>ISOFIX</w:t>
      </w:r>
      <w:r w:rsidRPr="00A5341E">
        <w:rPr>
          <w:rFonts w:asciiTheme="minorHAnsi" w:hAnsiTheme="minorHAnsi" w:cstheme="minorHAnsi"/>
          <w:sz w:val="18"/>
          <w:szCs w:val="18"/>
          <w:lang w:val="en"/>
        </w:rPr>
        <w:t xml:space="preserve"> is the </w:t>
      </w:r>
      <w:r w:rsidR="007F1CE5" w:rsidRPr="00A5341E">
        <w:rPr>
          <w:rFonts w:asciiTheme="minorHAnsi" w:hAnsiTheme="minorHAnsi" w:cstheme="minorHAnsi"/>
          <w:sz w:val="18"/>
          <w:szCs w:val="18"/>
          <w:lang w:val="en"/>
        </w:rPr>
        <w:t xml:space="preserve">method of attachment </w:t>
      </w:r>
      <w:r w:rsidR="00D707FF" w:rsidRPr="00A5341E">
        <w:rPr>
          <w:rFonts w:asciiTheme="minorHAnsi" w:hAnsiTheme="minorHAnsi" w:cstheme="minorHAnsi"/>
          <w:sz w:val="18"/>
          <w:szCs w:val="18"/>
        </w:rPr>
        <w:t>which allows a child seat to clip into two rigid or flexible lower anchorage points</w:t>
      </w:r>
      <w:r w:rsidR="00D707FF" w:rsidRPr="00A5341E">
        <w:rPr>
          <w:rFonts w:asciiTheme="minorHAnsi" w:hAnsiTheme="minorHAnsi" w:cstheme="minorHAnsi"/>
          <w:sz w:val="18"/>
          <w:szCs w:val="18"/>
          <w:lang w:val="en"/>
        </w:rPr>
        <w:t xml:space="preserve"> in a motor vehicle.  </w:t>
      </w:r>
      <w:hyperlink r:id="rId1" w:tooltip="International Organisation for Standardisation" w:history="1">
        <w:r w:rsidR="007F1CE5" w:rsidRPr="00A5341E">
          <w:rPr>
            <w:rStyle w:val="Hyperlink"/>
            <w:rFonts w:asciiTheme="minorHAnsi" w:hAnsiTheme="minorHAnsi" w:cstheme="minorHAnsi"/>
            <w:sz w:val="18"/>
            <w:szCs w:val="18"/>
            <w:lang w:val="en"/>
          </w:rPr>
          <w:t>International Organisation for Standardisation</w:t>
        </w:r>
      </w:hyperlink>
      <w:r w:rsidR="007F1CE5" w:rsidRPr="00A5341E">
        <w:rPr>
          <w:rFonts w:asciiTheme="minorHAnsi" w:hAnsiTheme="minorHAnsi" w:cstheme="minorHAnsi"/>
          <w:sz w:val="18"/>
          <w:szCs w:val="18"/>
          <w:lang w:val="en"/>
        </w:rPr>
        <w:t xml:space="preserve"> standard </w:t>
      </w:r>
      <w:r w:rsidR="007F1CE5" w:rsidRPr="00A5341E">
        <w:rPr>
          <w:rFonts w:asciiTheme="minorHAnsi" w:hAnsiTheme="minorHAnsi" w:cstheme="minorHAnsi"/>
          <w:b/>
          <w:bCs/>
          <w:sz w:val="18"/>
          <w:szCs w:val="18"/>
          <w:lang w:val="en"/>
        </w:rPr>
        <w:t>ISO 13216</w:t>
      </w:r>
      <w:r w:rsidR="00A93A19" w:rsidRPr="00A5341E">
        <w:rPr>
          <w:rFonts w:asciiTheme="minorHAnsi" w:hAnsiTheme="minorHAnsi" w:cstheme="minorHAnsi"/>
          <w:bCs/>
          <w:sz w:val="18"/>
          <w:szCs w:val="18"/>
          <w:lang w:val="en"/>
        </w:rPr>
        <w:t xml:space="preserve"> - </w:t>
      </w:r>
      <w:r w:rsidRPr="00A5341E">
        <w:rPr>
          <w:rFonts w:asciiTheme="minorHAnsi" w:hAnsiTheme="minorHAnsi" w:cstheme="minorHAnsi"/>
          <w:sz w:val="18"/>
          <w:szCs w:val="18"/>
          <w:lang w:val="en"/>
        </w:rPr>
        <w:t xml:space="preserve">attachment points for </w:t>
      </w:r>
      <w:hyperlink r:id="rId2" w:tooltip="Child safety seat" w:history="1">
        <w:r w:rsidRPr="00A5341E">
          <w:rPr>
            <w:rStyle w:val="Hyperlink"/>
            <w:rFonts w:asciiTheme="minorHAnsi" w:hAnsiTheme="minorHAnsi" w:cstheme="minorHAnsi"/>
            <w:sz w:val="18"/>
            <w:szCs w:val="18"/>
            <w:lang w:val="en"/>
          </w:rPr>
          <w:t>child safety seats</w:t>
        </w:r>
      </w:hyperlink>
      <w:r w:rsidRPr="00A5341E">
        <w:rPr>
          <w:rFonts w:asciiTheme="minorHAnsi" w:hAnsiTheme="minorHAnsi" w:cstheme="minorHAnsi"/>
          <w:sz w:val="18"/>
          <w:szCs w:val="18"/>
          <w:lang w:val="en"/>
        </w:rPr>
        <w:t xml:space="preserve"> in passenger cars specifies the anchoring system for child safety seats</w:t>
      </w:r>
      <w:r w:rsidR="007F1CE5" w:rsidRPr="00A5341E">
        <w:rPr>
          <w:rFonts w:asciiTheme="minorHAnsi" w:hAnsiTheme="minorHAnsi" w:cstheme="minorHAnsi"/>
          <w:sz w:val="18"/>
          <w:szCs w:val="18"/>
          <w:lang w:val="en"/>
        </w:rPr>
        <w:t xml:space="preserve"> i</w:t>
      </w:r>
      <w:r w:rsidRPr="00A5341E">
        <w:rPr>
          <w:rFonts w:asciiTheme="minorHAnsi" w:hAnsiTheme="minorHAnsi" w:cstheme="minorHAnsi"/>
          <w:sz w:val="18"/>
          <w:szCs w:val="18"/>
          <w:lang w:val="en"/>
        </w:rPr>
        <w:t>n the EU</w:t>
      </w:r>
      <w:r w:rsidR="00D707FF" w:rsidRPr="00A5341E">
        <w:rPr>
          <w:rFonts w:asciiTheme="minorHAnsi" w:hAnsiTheme="minorHAnsi" w:cstheme="minorHAnsi"/>
          <w:sz w:val="18"/>
          <w:szCs w:val="18"/>
          <w:lang w:val="en"/>
        </w:rPr>
        <w:t xml:space="preserve"> and is known as “ISOFIX”</w:t>
      </w:r>
      <w:r w:rsidR="007F1CE5" w:rsidRPr="00A5341E">
        <w:rPr>
          <w:rFonts w:asciiTheme="minorHAnsi" w:hAnsiTheme="minorHAnsi" w:cstheme="minorHAnsi"/>
          <w:sz w:val="18"/>
          <w:szCs w:val="18"/>
          <w:lang w:val="en"/>
        </w:rPr>
        <w:t>.</w:t>
      </w:r>
      <w:r w:rsidRPr="00A5341E">
        <w:rPr>
          <w:rFonts w:asciiTheme="minorHAnsi" w:hAnsiTheme="minorHAnsi" w:cstheme="minorHAnsi"/>
          <w:sz w:val="18"/>
          <w:szCs w:val="18"/>
          <w:lang w:val="en"/>
        </w:rPr>
        <w:t xml:space="preserve"> Th</w:t>
      </w:r>
      <w:r w:rsidR="00D707FF" w:rsidRPr="00A5341E">
        <w:rPr>
          <w:rFonts w:asciiTheme="minorHAnsi" w:hAnsiTheme="minorHAnsi" w:cstheme="minorHAnsi"/>
          <w:sz w:val="18"/>
          <w:szCs w:val="18"/>
          <w:lang w:val="en"/>
        </w:rPr>
        <w:t xml:space="preserve">is ISOFIX </w:t>
      </w:r>
      <w:r w:rsidRPr="00A5341E">
        <w:rPr>
          <w:rFonts w:asciiTheme="minorHAnsi" w:hAnsiTheme="minorHAnsi" w:cstheme="minorHAnsi"/>
          <w:sz w:val="18"/>
          <w:szCs w:val="18"/>
          <w:lang w:val="en"/>
        </w:rPr>
        <w:t xml:space="preserve">mechanism for attaching the seat to the </w:t>
      </w:r>
      <w:r w:rsidR="00D707FF" w:rsidRPr="00A5341E">
        <w:rPr>
          <w:rFonts w:asciiTheme="minorHAnsi" w:hAnsiTheme="minorHAnsi" w:cstheme="minorHAnsi"/>
          <w:sz w:val="18"/>
          <w:szCs w:val="18"/>
          <w:lang w:val="en"/>
        </w:rPr>
        <w:t>lower a</w:t>
      </w:r>
      <w:r w:rsidRPr="00A5341E">
        <w:rPr>
          <w:rFonts w:asciiTheme="minorHAnsi" w:hAnsiTheme="minorHAnsi" w:cstheme="minorHAnsi"/>
          <w:sz w:val="18"/>
          <w:szCs w:val="18"/>
          <w:lang w:val="en"/>
        </w:rPr>
        <w:t xml:space="preserve">nchors is quite different from that </w:t>
      </w:r>
      <w:r w:rsidR="00D707FF" w:rsidRPr="00A5341E">
        <w:rPr>
          <w:rFonts w:asciiTheme="minorHAnsi" w:hAnsiTheme="minorHAnsi" w:cstheme="minorHAnsi"/>
          <w:sz w:val="18"/>
          <w:szCs w:val="18"/>
          <w:lang w:val="en"/>
        </w:rPr>
        <w:t xml:space="preserve">used </w:t>
      </w:r>
      <w:r w:rsidRPr="00A5341E">
        <w:rPr>
          <w:rFonts w:asciiTheme="minorHAnsi" w:hAnsiTheme="minorHAnsi" w:cstheme="minorHAnsi"/>
          <w:sz w:val="18"/>
          <w:szCs w:val="18"/>
          <w:lang w:val="en"/>
        </w:rPr>
        <w:t>in the United States</w:t>
      </w:r>
      <w:r w:rsidR="00D707FF" w:rsidRPr="00A5341E">
        <w:rPr>
          <w:rFonts w:asciiTheme="minorHAnsi" w:hAnsiTheme="minorHAnsi" w:cstheme="minorHAnsi"/>
          <w:sz w:val="18"/>
          <w:szCs w:val="18"/>
          <w:lang w:val="en"/>
        </w:rPr>
        <w:t xml:space="preserve"> and very different from the top tether and motor vehicle seat belt system used in Australia</w:t>
      </w:r>
      <w:r w:rsidRPr="00A5341E">
        <w:rPr>
          <w:rFonts w:asciiTheme="minorHAnsi" w:hAnsiTheme="minorHAnsi" w:cstheme="minorHAnsi"/>
          <w:sz w:val="18"/>
          <w:szCs w:val="18"/>
          <w:lang w:val="en"/>
        </w:rPr>
        <w:t xml:space="preserve">. </w:t>
      </w:r>
    </w:p>
  </w:footnote>
  <w:footnote w:id="7">
    <w:p w:rsidR="00DB0C2B" w:rsidRPr="00DB0C2B" w:rsidRDefault="00DB0C2B" w:rsidP="00FB02A0">
      <w:pPr>
        <w:pStyle w:val="FootnoteText"/>
        <w:jc w:val="both"/>
        <w:rPr>
          <w:rFonts w:asciiTheme="minorHAnsi" w:hAnsiTheme="minorHAnsi" w:cstheme="minorHAnsi"/>
          <w:sz w:val="18"/>
          <w:szCs w:val="18"/>
          <w:lang w:val="en-AU"/>
        </w:rPr>
      </w:pPr>
      <w:r>
        <w:rPr>
          <w:rStyle w:val="FootnoteReference"/>
        </w:rPr>
        <w:footnoteRef/>
      </w:r>
      <w:r>
        <w:t xml:space="preserve"> </w:t>
      </w:r>
      <w:r w:rsidRPr="00DB0C2B">
        <w:rPr>
          <w:rFonts w:asciiTheme="minorHAnsi" w:hAnsiTheme="minorHAnsi" w:cstheme="minorHAnsi"/>
          <w:sz w:val="18"/>
          <w:szCs w:val="18"/>
          <w:lang w:val="en-AU"/>
        </w:rPr>
        <w:t xml:space="preserve">At the moment this service is conducted by SAI Global and incorporates </w:t>
      </w:r>
      <w:r w:rsidRPr="00DB0C2B">
        <w:rPr>
          <w:rFonts w:asciiTheme="minorHAnsi" w:hAnsiTheme="minorHAnsi" w:cstheme="minorHAnsi"/>
          <w:sz w:val="18"/>
          <w:szCs w:val="18"/>
          <w:lang w:val="en"/>
        </w:rPr>
        <w:t>third party assurance that a particular product</w:t>
      </w:r>
      <w:r>
        <w:rPr>
          <w:rFonts w:asciiTheme="minorHAnsi" w:hAnsiTheme="minorHAnsi" w:cstheme="minorHAnsi"/>
          <w:sz w:val="18"/>
          <w:szCs w:val="18"/>
          <w:lang w:val="en"/>
        </w:rPr>
        <w:t xml:space="preserve"> </w:t>
      </w:r>
      <w:r w:rsidRPr="00DB0C2B">
        <w:rPr>
          <w:rFonts w:asciiTheme="minorHAnsi" w:hAnsiTheme="minorHAnsi" w:cstheme="minorHAnsi"/>
          <w:sz w:val="18"/>
          <w:szCs w:val="18"/>
          <w:lang w:val="en"/>
        </w:rPr>
        <w:t xml:space="preserve">meets the specified requirements of </w:t>
      </w:r>
      <w:r>
        <w:rPr>
          <w:rFonts w:asciiTheme="minorHAnsi" w:hAnsiTheme="minorHAnsi" w:cstheme="minorHAnsi"/>
          <w:sz w:val="18"/>
          <w:szCs w:val="18"/>
          <w:lang w:val="en"/>
        </w:rPr>
        <w:t>AS/NZS 1754</w:t>
      </w:r>
      <w:r w:rsidRPr="00DB0C2B">
        <w:rPr>
          <w:rFonts w:asciiTheme="minorHAnsi" w:hAnsiTheme="minorHAnsi" w:cstheme="minorHAnsi"/>
          <w:sz w:val="18"/>
          <w:szCs w:val="18"/>
          <w:lang w:val="en"/>
        </w:rPr>
        <w:t>.</w:t>
      </w:r>
      <w:r>
        <w:rPr>
          <w:rFonts w:asciiTheme="minorHAnsi" w:hAnsiTheme="minorHAnsi" w:cstheme="minorHAnsi"/>
          <w:sz w:val="18"/>
          <w:szCs w:val="18"/>
          <w:lang w:val="en"/>
        </w:rPr>
        <w:t xml:space="preserve">  </w:t>
      </w:r>
      <w:r w:rsidRPr="00DB0C2B">
        <w:rPr>
          <w:rFonts w:asciiTheme="minorHAnsi" w:hAnsiTheme="minorHAnsi" w:cstheme="minorHAnsi"/>
          <w:sz w:val="18"/>
          <w:szCs w:val="18"/>
          <w:lang w:val="en"/>
        </w:rPr>
        <w:t>SAI Global Standards</w:t>
      </w:r>
      <w:r w:rsidR="00C863FD">
        <w:rPr>
          <w:rFonts w:asciiTheme="minorHAnsi" w:hAnsiTheme="minorHAnsi" w:cstheme="minorHAnsi"/>
          <w:sz w:val="18"/>
          <w:szCs w:val="18"/>
          <w:lang w:val="en"/>
        </w:rPr>
        <w:t xml:space="preserve"> </w:t>
      </w:r>
      <w:r w:rsidRPr="00DB0C2B">
        <w:rPr>
          <w:rFonts w:asciiTheme="minorHAnsi" w:hAnsiTheme="minorHAnsi" w:cstheme="minorHAnsi"/>
          <w:sz w:val="18"/>
          <w:szCs w:val="18"/>
          <w:lang w:val="en"/>
        </w:rPr>
        <w:t>Mark™</w:t>
      </w:r>
      <w:r>
        <w:rPr>
          <w:rFonts w:asciiTheme="minorHAnsi" w:hAnsiTheme="minorHAnsi" w:cstheme="minorHAnsi"/>
          <w:sz w:val="18"/>
          <w:szCs w:val="18"/>
          <w:lang w:val="en"/>
        </w:rPr>
        <w:t xml:space="preserve">, or the 5 Tick Mark, </w:t>
      </w:r>
      <w:r w:rsidRPr="00DB0C2B">
        <w:rPr>
          <w:rFonts w:asciiTheme="minorHAnsi" w:hAnsiTheme="minorHAnsi" w:cstheme="minorHAnsi"/>
          <w:sz w:val="18"/>
          <w:szCs w:val="18"/>
          <w:lang w:val="en"/>
        </w:rPr>
        <w:t>on the product represents reliability, quality assurance and safety</w:t>
      </w:r>
      <w:r>
        <w:rPr>
          <w:rFonts w:asciiTheme="minorHAnsi" w:hAnsiTheme="minorHAnsi" w:cstheme="minorHAnsi"/>
          <w:sz w:val="18"/>
          <w:szCs w:val="18"/>
          <w:lang w:val="en"/>
        </w:rPr>
        <w:t xml:space="preserve"> and is a visible, recognisable method of consumers identifying compliant child restraints.  See </w:t>
      </w:r>
      <w:r w:rsidRPr="00DB0C2B">
        <w:rPr>
          <w:rFonts w:ascii="Calibri" w:hAnsi="Calibri" w:cs="Calibri"/>
          <w:sz w:val="18"/>
          <w:szCs w:val="18"/>
          <w:lang w:val="en"/>
        </w:rPr>
        <w:t>http://www.saiglobal.co</w:t>
      </w:r>
      <w:r>
        <w:rPr>
          <w:rFonts w:ascii="Calibri" w:hAnsi="Calibri" w:cs="Calibri"/>
          <w:sz w:val="18"/>
          <w:szCs w:val="18"/>
          <w:lang w:val="en"/>
        </w:rPr>
        <w: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D" w:rsidRDefault="00C9017D" w:rsidP="00AC56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17D" w:rsidRDefault="00C90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D" w:rsidRDefault="00C9017D">
    <w:pPr>
      <w:pStyle w:val="Header"/>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D" w:rsidRDefault="00C901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12EF4F6"/>
    <w:lvl w:ilvl="0">
      <w:start w:val="1"/>
      <w:numFmt w:val="decimal"/>
      <w:pStyle w:val="ListNumber"/>
      <w:lvlText w:val="%1."/>
      <w:lvlJc w:val="left"/>
      <w:pPr>
        <w:tabs>
          <w:tab w:val="num" w:pos="360"/>
        </w:tabs>
        <w:ind w:left="360" w:hanging="360"/>
      </w:pPr>
    </w:lvl>
    <w:lvl w:ilvl="1">
      <w:start w:val="1"/>
      <w:numFmt w:val="decimal"/>
      <w:pStyle w:val="ListNumber2"/>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0C1B37"/>
    <w:multiLevelType w:val="hybridMultilevel"/>
    <w:tmpl w:val="928A3D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9EA76DF"/>
    <w:multiLevelType w:val="hybridMultilevel"/>
    <w:tmpl w:val="3DBA7024"/>
    <w:lvl w:ilvl="0" w:tplc="B426A6E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A8534A4"/>
    <w:multiLevelType w:val="hybridMultilevel"/>
    <w:tmpl w:val="F0F6A0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591E84"/>
    <w:multiLevelType w:val="hybridMultilevel"/>
    <w:tmpl w:val="CBE0D0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562A9E"/>
    <w:multiLevelType w:val="hybridMultilevel"/>
    <w:tmpl w:val="5C663F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8D8411A"/>
    <w:multiLevelType w:val="hybridMultilevel"/>
    <w:tmpl w:val="0B2E5E2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1FD857B9"/>
    <w:multiLevelType w:val="hybridMultilevel"/>
    <w:tmpl w:val="5268D334"/>
    <w:lvl w:ilvl="0" w:tplc="0C090001">
      <w:start w:val="1"/>
      <w:numFmt w:val="bullet"/>
      <w:lvlText w:val=""/>
      <w:lvlJc w:val="left"/>
      <w:pPr>
        <w:ind w:left="-50" w:hanging="360"/>
      </w:pPr>
      <w:rPr>
        <w:rFonts w:ascii="Symbol" w:hAnsi="Symbol" w:hint="default"/>
      </w:rPr>
    </w:lvl>
    <w:lvl w:ilvl="1" w:tplc="0C090003" w:tentative="1">
      <w:start w:val="1"/>
      <w:numFmt w:val="bullet"/>
      <w:lvlText w:val="o"/>
      <w:lvlJc w:val="left"/>
      <w:pPr>
        <w:ind w:left="670" w:hanging="360"/>
      </w:pPr>
      <w:rPr>
        <w:rFonts w:ascii="Courier New" w:hAnsi="Courier New" w:cs="Courier New" w:hint="default"/>
      </w:rPr>
    </w:lvl>
    <w:lvl w:ilvl="2" w:tplc="0C090005" w:tentative="1">
      <w:start w:val="1"/>
      <w:numFmt w:val="bullet"/>
      <w:lvlText w:val=""/>
      <w:lvlJc w:val="left"/>
      <w:pPr>
        <w:ind w:left="1390" w:hanging="360"/>
      </w:pPr>
      <w:rPr>
        <w:rFonts w:ascii="Wingdings" w:hAnsi="Wingdings" w:hint="default"/>
      </w:rPr>
    </w:lvl>
    <w:lvl w:ilvl="3" w:tplc="0C090001" w:tentative="1">
      <w:start w:val="1"/>
      <w:numFmt w:val="bullet"/>
      <w:lvlText w:val=""/>
      <w:lvlJc w:val="left"/>
      <w:pPr>
        <w:ind w:left="2110" w:hanging="360"/>
      </w:pPr>
      <w:rPr>
        <w:rFonts w:ascii="Symbol" w:hAnsi="Symbol" w:hint="default"/>
      </w:rPr>
    </w:lvl>
    <w:lvl w:ilvl="4" w:tplc="0C090003" w:tentative="1">
      <w:start w:val="1"/>
      <w:numFmt w:val="bullet"/>
      <w:lvlText w:val="o"/>
      <w:lvlJc w:val="left"/>
      <w:pPr>
        <w:ind w:left="2830" w:hanging="360"/>
      </w:pPr>
      <w:rPr>
        <w:rFonts w:ascii="Courier New" w:hAnsi="Courier New" w:cs="Courier New" w:hint="default"/>
      </w:rPr>
    </w:lvl>
    <w:lvl w:ilvl="5" w:tplc="0C090005" w:tentative="1">
      <w:start w:val="1"/>
      <w:numFmt w:val="bullet"/>
      <w:lvlText w:val=""/>
      <w:lvlJc w:val="left"/>
      <w:pPr>
        <w:ind w:left="3550" w:hanging="360"/>
      </w:pPr>
      <w:rPr>
        <w:rFonts w:ascii="Wingdings" w:hAnsi="Wingdings" w:hint="default"/>
      </w:rPr>
    </w:lvl>
    <w:lvl w:ilvl="6" w:tplc="0C090001" w:tentative="1">
      <w:start w:val="1"/>
      <w:numFmt w:val="bullet"/>
      <w:lvlText w:val=""/>
      <w:lvlJc w:val="left"/>
      <w:pPr>
        <w:ind w:left="4270" w:hanging="360"/>
      </w:pPr>
      <w:rPr>
        <w:rFonts w:ascii="Symbol" w:hAnsi="Symbol" w:hint="default"/>
      </w:rPr>
    </w:lvl>
    <w:lvl w:ilvl="7" w:tplc="0C090003" w:tentative="1">
      <w:start w:val="1"/>
      <w:numFmt w:val="bullet"/>
      <w:lvlText w:val="o"/>
      <w:lvlJc w:val="left"/>
      <w:pPr>
        <w:ind w:left="4990" w:hanging="360"/>
      </w:pPr>
      <w:rPr>
        <w:rFonts w:ascii="Courier New" w:hAnsi="Courier New" w:cs="Courier New" w:hint="default"/>
      </w:rPr>
    </w:lvl>
    <w:lvl w:ilvl="8" w:tplc="0C090005" w:tentative="1">
      <w:start w:val="1"/>
      <w:numFmt w:val="bullet"/>
      <w:lvlText w:val=""/>
      <w:lvlJc w:val="left"/>
      <w:pPr>
        <w:ind w:left="5710" w:hanging="360"/>
      </w:pPr>
      <w:rPr>
        <w:rFonts w:ascii="Wingdings" w:hAnsi="Wingdings" w:hint="default"/>
      </w:rPr>
    </w:lvl>
  </w:abstractNum>
  <w:abstractNum w:abstractNumId="9">
    <w:nsid w:val="25060334"/>
    <w:multiLevelType w:val="hybridMultilevel"/>
    <w:tmpl w:val="1F18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0D2B0D"/>
    <w:multiLevelType w:val="hybridMultilevel"/>
    <w:tmpl w:val="B6CC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087F2C"/>
    <w:multiLevelType w:val="hybridMultilevel"/>
    <w:tmpl w:val="C8087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CAA2C2C"/>
    <w:multiLevelType w:val="hybridMultilevel"/>
    <w:tmpl w:val="10F27AE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0E7E79"/>
    <w:multiLevelType w:val="hybridMultilevel"/>
    <w:tmpl w:val="79949A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67555D5"/>
    <w:multiLevelType w:val="hybridMultilevel"/>
    <w:tmpl w:val="FF644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C31365"/>
    <w:multiLevelType w:val="hybridMultilevel"/>
    <w:tmpl w:val="6B3C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5A25D2"/>
    <w:multiLevelType w:val="hybridMultilevel"/>
    <w:tmpl w:val="57AA7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B656C8"/>
    <w:multiLevelType w:val="hybridMultilevel"/>
    <w:tmpl w:val="1202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6177C6"/>
    <w:multiLevelType w:val="hybridMultilevel"/>
    <w:tmpl w:val="52BE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A90A69"/>
    <w:multiLevelType w:val="hybridMultilevel"/>
    <w:tmpl w:val="F8E0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505B6"/>
    <w:multiLevelType w:val="hybridMultilevel"/>
    <w:tmpl w:val="2D3E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DC6A83"/>
    <w:multiLevelType w:val="hybridMultilevel"/>
    <w:tmpl w:val="71DA2462"/>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26588A"/>
    <w:multiLevelType w:val="hybridMultilevel"/>
    <w:tmpl w:val="CC927964"/>
    <w:lvl w:ilvl="0" w:tplc="956E30DC">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3">
    <w:nsid w:val="69287AFB"/>
    <w:multiLevelType w:val="hybridMultilevel"/>
    <w:tmpl w:val="A15004EE"/>
    <w:lvl w:ilvl="0" w:tplc="182E0262">
      <w:start w:val="1"/>
      <w:numFmt w:val="bullet"/>
      <w:lvlText w:val=""/>
      <w:lvlJc w:val="left"/>
      <w:pPr>
        <w:tabs>
          <w:tab w:val="num" w:pos="360"/>
        </w:tabs>
        <w:ind w:left="360" w:hanging="360"/>
      </w:pPr>
      <w:rPr>
        <w:rFonts w:ascii="Symbol" w:hAnsi="Symbol" w:hint="default"/>
        <w:b w:val="0"/>
        <w:sz w:val="28"/>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BB00602"/>
    <w:multiLevelType w:val="hybridMultilevel"/>
    <w:tmpl w:val="3BFA6D92"/>
    <w:lvl w:ilvl="0" w:tplc="357894CE">
      <w:start w:val="1"/>
      <w:numFmt w:val="decimal"/>
      <w:lvlText w:val="%1."/>
      <w:lvlJc w:val="left"/>
      <w:pPr>
        <w:ind w:left="360" w:hanging="360"/>
      </w:pPr>
      <w:rPr>
        <w:rFonts w:hint="default"/>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D9C4EAF"/>
    <w:multiLevelType w:val="hybridMultilevel"/>
    <w:tmpl w:val="BFFE1D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73DC206E"/>
    <w:multiLevelType w:val="hybridMultilevel"/>
    <w:tmpl w:val="7BEC95E8"/>
    <w:lvl w:ilvl="0" w:tplc="99E0D12E">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nsid w:val="75383065"/>
    <w:multiLevelType w:val="hybridMultilevel"/>
    <w:tmpl w:val="7B78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F511D6"/>
    <w:multiLevelType w:val="hybridMultilevel"/>
    <w:tmpl w:val="218E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26"/>
  </w:num>
  <w:num w:numId="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14"/>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21"/>
  </w:num>
  <w:num w:numId="17">
    <w:abstractNumId w:val="15"/>
  </w:num>
  <w:num w:numId="18">
    <w:abstractNumId w:val="24"/>
  </w:num>
  <w:num w:numId="19">
    <w:abstractNumId w:val="28"/>
  </w:num>
  <w:num w:numId="20">
    <w:abstractNumId w:val="5"/>
  </w:num>
  <w:num w:numId="21">
    <w:abstractNumId w:val="20"/>
  </w:num>
  <w:num w:numId="22">
    <w:abstractNumId w:val="13"/>
  </w:num>
  <w:num w:numId="23">
    <w:abstractNumId w:val="0"/>
  </w:num>
  <w:num w:numId="24">
    <w:abstractNumId w:val="7"/>
  </w:num>
  <w:num w:numId="25">
    <w:abstractNumId w:val="19"/>
  </w:num>
  <w:num w:numId="26">
    <w:abstractNumId w:val="9"/>
  </w:num>
  <w:num w:numId="27">
    <w:abstractNumId w:val="12"/>
  </w:num>
  <w:num w:numId="28">
    <w:abstractNumId w:val="8"/>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SCBRFS001\home$\ISCOT\ps child restraints review con (D2014-00054040[V02]).docx"/>
  </w:docVars>
  <w:rsids>
    <w:rsidRoot w:val="003442EC"/>
    <w:rsid w:val="00003DC8"/>
    <w:rsid w:val="00004EEA"/>
    <w:rsid w:val="00006019"/>
    <w:rsid w:val="00011327"/>
    <w:rsid w:val="00015DC1"/>
    <w:rsid w:val="000170E5"/>
    <w:rsid w:val="0002000A"/>
    <w:rsid w:val="00022419"/>
    <w:rsid w:val="00023B63"/>
    <w:rsid w:val="00030D54"/>
    <w:rsid w:val="00032420"/>
    <w:rsid w:val="00033B1F"/>
    <w:rsid w:val="000414DF"/>
    <w:rsid w:val="00045551"/>
    <w:rsid w:val="0004753F"/>
    <w:rsid w:val="00052736"/>
    <w:rsid w:val="00054E5B"/>
    <w:rsid w:val="000615E3"/>
    <w:rsid w:val="000624D2"/>
    <w:rsid w:val="00064A71"/>
    <w:rsid w:val="00067CBA"/>
    <w:rsid w:val="00067E58"/>
    <w:rsid w:val="00072216"/>
    <w:rsid w:val="00073B18"/>
    <w:rsid w:val="00080981"/>
    <w:rsid w:val="00082B06"/>
    <w:rsid w:val="00083745"/>
    <w:rsid w:val="000865A0"/>
    <w:rsid w:val="000873B6"/>
    <w:rsid w:val="0008779E"/>
    <w:rsid w:val="00091754"/>
    <w:rsid w:val="0009517A"/>
    <w:rsid w:val="00097047"/>
    <w:rsid w:val="000A125D"/>
    <w:rsid w:val="000A382B"/>
    <w:rsid w:val="000A3E38"/>
    <w:rsid w:val="000A3E7C"/>
    <w:rsid w:val="000A6504"/>
    <w:rsid w:val="000B0A59"/>
    <w:rsid w:val="000B1AF5"/>
    <w:rsid w:val="000B306F"/>
    <w:rsid w:val="000B3A78"/>
    <w:rsid w:val="000C3125"/>
    <w:rsid w:val="000C737D"/>
    <w:rsid w:val="000C766A"/>
    <w:rsid w:val="000D103A"/>
    <w:rsid w:val="000D166F"/>
    <w:rsid w:val="000E0E2D"/>
    <w:rsid w:val="000E2B25"/>
    <w:rsid w:val="000E2D7D"/>
    <w:rsid w:val="000E5C64"/>
    <w:rsid w:val="000E7A93"/>
    <w:rsid w:val="000F1243"/>
    <w:rsid w:val="000F5FA5"/>
    <w:rsid w:val="001032F3"/>
    <w:rsid w:val="001076A9"/>
    <w:rsid w:val="00110A56"/>
    <w:rsid w:val="001173C9"/>
    <w:rsid w:val="001177B6"/>
    <w:rsid w:val="001212A7"/>
    <w:rsid w:val="00122EA4"/>
    <w:rsid w:val="00125A3C"/>
    <w:rsid w:val="0013066C"/>
    <w:rsid w:val="00130A7C"/>
    <w:rsid w:val="00132E48"/>
    <w:rsid w:val="001346C2"/>
    <w:rsid w:val="00137EAF"/>
    <w:rsid w:val="001402CB"/>
    <w:rsid w:val="001416EB"/>
    <w:rsid w:val="00143ECC"/>
    <w:rsid w:val="00146C7D"/>
    <w:rsid w:val="0015289C"/>
    <w:rsid w:val="00153D08"/>
    <w:rsid w:val="001551A9"/>
    <w:rsid w:val="00157767"/>
    <w:rsid w:val="001617D7"/>
    <w:rsid w:val="00162214"/>
    <w:rsid w:val="001641B2"/>
    <w:rsid w:val="00165725"/>
    <w:rsid w:val="00166E9A"/>
    <w:rsid w:val="001724F5"/>
    <w:rsid w:val="00175A01"/>
    <w:rsid w:val="0017733C"/>
    <w:rsid w:val="00184981"/>
    <w:rsid w:val="00184F54"/>
    <w:rsid w:val="0018676C"/>
    <w:rsid w:val="0018786E"/>
    <w:rsid w:val="001A06F9"/>
    <w:rsid w:val="001A0C20"/>
    <w:rsid w:val="001A33FA"/>
    <w:rsid w:val="001A354F"/>
    <w:rsid w:val="001A5872"/>
    <w:rsid w:val="001A59D6"/>
    <w:rsid w:val="001A615B"/>
    <w:rsid w:val="001B3A7D"/>
    <w:rsid w:val="001B5130"/>
    <w:rsid w:val="001B5B0A"/>
    <w:rsid w:val="001B7188"/>
    <w:rsid w:val="001C06AA"/>
    <w:rsid w:val="001C5300"/>
    <w:rsid w:val="001D04EE"/>
    <w:rsid w:val="001D2739"/>
    <w:rsid w:val="001D2869"/>
    <w:rsid w:val="001D46E8"/>
    <w:rsid w:val="001D5E20"/>
    <w:rsid w:val="001E015C"/>
    <w:rsid w:val="001E0779"/>
    <w:rsid w:val="001E0F35"/>
    <w:rsid w:val="001E3A06"/>
    <w:rsid w:val="001F0EAC"/>
    <w:rsid w:val="001F37DA"/>
    <w:rsid w:val="001F4765"/>
    <w:rsid w:val="001F5CA8"/>
    <w:rsid w:val="001F61A1"/>
    <w:rsid w:val="00201BB2"/>
    <w:rsid w:val="00202289"/>
    <w:rsid w:val="00206917"/>
    <w:rsid w:val="00210F8C"/>
    <w:rsid w:val="00220C47"/>
    <w:rsid w:val="00220D15"/>
    <w:rsid w:val="002218C4"/>
    <w:rsid w:val="00221E3E"/>
    <w:rsid w:val="00222271"/>
    <w:rsid w:val="00223E72"/>
    <w:rsid w:val="00224DE2"/>
    <w:rsid w:val="00230485"/>
    <w:rsid w:val="002362BA"/>
    <w:rsid w:val="002371C8"/>
    <w:rsid w:val="00243802"/>
    <w:rsid w:val="002458A2"/>
    <w:rsid w:val="00246364"/>
    <w:rsid w:val="00246C95"/>
    <w:rsid w:val="00251830"/>
    <w:rsid w:val="00251914"/>
    <w:rsid w:val="00252B8C"/>
    <w:rsid w:val="002535B6"/>
    <w:rsid w:val="002600BF"/>
    <w:rsid w:val="0026153F"/>
    <w:rsid w:val="002658CC"/>
    <w:rsid w:val="00265DE8"/>
    <w:rsid w:val="00267C14"/>
    <w:rsid w:val="002800FE"/>
    <w:rsid w:val="00281A93"/>
    <w:rsid w:val="0028437E"/>
    <w:rsid w:val="0028751E"/>
    <w:rsid w:val="00294A4C"/>
    <w:rsid w:val="002961F9"/>
    <w:rsid w:val="0029661A"/>
    <w:rsid w:val="002B496D"/>
    <w:rsid w:val="002C16C6"/>
    <w:rsid w:val="002C20E2"/>
    <w:rsid w:val="002C24D7"/>
    <w:rsid w:val="002C2861"/>
    <w:rsid w:val="002D316F"/>
    <w:rsid w:val="002D4665"/>
    <w:rsid w:val="002E01D2"/>
    <w:rsid w:val="002E3714"/>
    <w:rsid w:val="002E50C5"/>
    <w:rsid w:val="002E7809"/>
    <w:rsid w:val="002E7F48"/>
    <w:rsid w:val="002F14E4"/>
    <w:rsid w:val="00301B69"/>
    <w:rsid w:val="00303538"/>
    <w:rsid w:val="00312631"/>
    <w:rsid w:val="00314877"/>
    <w:rsid w:val="0031535A"/>
    <w:rsid w:val="00322B47"/>
    <w:rsid w:val="003232F6"/>
    <w:rsid w:val="00326419"/>
    <w:rsid w:val="00326A0E"/>
    <w:rsid w:val="00326E3F"/>
    <w:rsid w:val="0033163B"/>
    <w:rsid w:val="00331963"/>
    <w:rsid w:val="00332035"/>
    <w:rsid w:val="00337BFF"/>
    <w:rsid w:val="003402C8"/>
    <w:rsid w:val="00340E0A"/>
    <w:rsid w:val="00343ECD"/>
    <w:rsid w:val="003442EC"/>
    <w:rsid w:val="003465EA"/>
    <w:rsid w:val="00347BF1"/>
    <w:rsid w:val="0035413E"/>
    <w:rsid w:val="0036229A"/>
    <w:rsid w:val="00367740"/>
    <w:rsid w:val="00367D49"/>
    <w:rsid w:val="003705B1"/>
    <w:rsid w:val="00373CD8"/>
    <w:rsid w:val="0037778C"/>
    <w:rsid w:val="0038075E"/>
    <w:rsid w:val="0038292B"/>
    <w:rsid w:val="00382B67"/>
    <w:rsid w:val="00382C1F"/>
    <w:rsid w:val="00386161"/>
    <w:rsid w:val="0039341D"/>
    <w:rsid w:val="00395621"/>
    <w:rsid w:val="003A099B"/>
    <w:rsid w:val="003A115B"/>
    <w:rsid w:val="003A305F"/>
    <w:rsid w:val="003A4EB2"/>
    <w:rsid w:val="003A5C26"/>
    <w:rsid w:val="003A7B93"/>
    <w:rsid w:val="003B298D"/>
    <w:rsid w:val="003B3A1E"/>
    <w:rsid w:val="003B4FD9"/>
    <w:rsid w:val="003B5460"/>
    <w:rsid w:val="003C271E"/>
    <w:rsid w:val="003C62B4"/>
    <w:rsid w:val="003D5F43"/>
    <w:rsid w:val="003E3B20"/>
    <w:rsid w:val="003E4F4E"/>
    <w:rsid w:val="003E5153"/>
    <w:rsid w:val="003F0DAE"/>
    <w:rsid w:val="003F23F0"/>
    <w:rsid w:val="003F324C"/>
    <w:rsid w:val="003F3E36"/>
    <w:rsid w:val="004014D7"/>
    <w:rsid w:val="00402292"/>
    <w:rsid w:val="00403706"/>
    <w:rsid w:val="00403D86"/>
    <w:rsid w:val="00404344"/>
    <w:rsid w:val="004047E7"/>
    <w:rsid w:val="00416C10"/>
    <w:rsid w:val="00416DD5"/>
    <w:rsid w:val="004172B3"/>
    <w:rsid w:val="00421E2F"/>
    <w:rsid w:val="00422C7D"/>
    <w:rsid w:val="00424244"/>
    <w:rsid w:val="0042513D"/>
    <w:rsid w:val="0042565F"/>
    <w:rsid w:val="004279C6"/>
    <w:rsid w:val="00431225"/>
    <w:rsid w:val="00432FE6"/>
    <w:rsid w:val="00434FD3"/>
    <w:rsid w:val="00436EA2"/>
    <w:rsid w:val="0044538C"/>
    <w:rsid w:val="00446F75"/>
    <w:rsid w:val="00451C44"/>
    <w:rsid w:val="00453E2E"/>
    <w:rsid w:val="00453F92"/>
    <w:rsid w:val="004544B7"/>
    <w:rsid w:val="00457580"/>
    <w:rsid w:val="004678E8"/>
    <w:rsid w:val="00474013"/>
    <w:rsid w:val="0047599F"/>
    <w:rsid w:val="00481AE2"/>
    <w:rsid w:val="00483814"/>
    <w:rsid w:val="0048704C"/>
    <w:rsid w:val="0049041D"/>
    <w:rsid w:val="004921F4"/>
    <w:rsid w:val="004955A1"/>
    <w:rsid w:val="004A30F0"/>
    <w:rsid w:val="004B0BA2"/>
    <w:rsid w:val="004B1820"/>
    <w:rsid w:val="004B5231"/>
    <w:rsid w:val="004B5618"/>
    <w:rsid w:val="004B57CF"/>
    <w:rsid w:val="004B678C"/>
    <w:rsid w:val="004C24DC"/>
    <w:rsid w:val="004C4916"/>
    <w:rsid w:val="004D214B"/>
    <w:rsid w:val="004D52FE"/>
    <w:rsid w:val="004E11D2"/>
    <w:rsid w:val="004E22D9"/>
    <w:rsid w:val="004E3A8C"/>
    <w:rsid w:val="004E46CA"/>
    <w:rsid w:val="004E6EF4"/>
    <w:rsid w:val="004F4F7D"/>
    <w:rsid w:val="004F6C7F"/>
    <w:rsid w:val="005006D2"/>
    <w:rsid w:val="00501C58"/>
    <w:rsid w:val="005026E8"/>
    <w:rsid w:val="00502848"/>
    <w:rsid w:val="00503E14"/>
    <w:rsid w:val="005051BF"/>
    <w:rsid w:val="0050702D"/>
    <w:rsid w:val="005108E0"/>
    <w:rsid w:val="00512099"/>
    <w:rsid w:val="005136EE"/>
    <w:rsid w:val="00514E33"/>
    <w:rsid w:val="00515996"/>
    <w:rsid w:val="005161C6"/>
    <w:rsid w:val="0051717C"/>
    <w:rsid w:val="00521AD8"/>
    <w:rsid w:val="0052678E"/>
    <w:rsid w:val="00527623"/>
    <w:rsid w:val="00531657"/>
    <w:rsid w:val="00531BAF"/>
    <w:rsid w:val="00532435"/>
    <w:rsid w:val="00533105"/>
    <w:rsid w:val="00533BA6"/>
    <w:rsid w:val="00535277"/>
    <w:rsid w:val="0053538D"/>
    <w:rsid w:val="0053591F"/>
    <w:rsid w:val="00536925"/>
    <w:rsid w:val="005413D5"/>
    <w:rsid w:val="00545CEB"/>
    <w:rsid w:val="00546EBD"/>
    <w:rsid w:val="00546ED0"/>
    <w:rsid w:val="0055450F"/>
    <w:rsid w:val="00556AB4"/>
    <w:rsid w:val="0055799E"/>
    <w:rsid w:val="00562CD4"/>
    <w:rsid w:val="00564CD0"/>
    <w:rsid w:val="0057064A"/>
    <w:rsid w:val="005723EC"/>
    <w:rsid w:val="00572CC7"/>
    <w:rsid w:val="0057447C"/>
    <w:rsid w:val="005745CE"/>
    <w:rsid w:val="00575A11"/>
    <w:rsid w:val="005802D0"/>
    <w:rsid w:val="00585C5F"/>
    <w:rsid w:val="00594208"/>
    <w:rsid w:val="00596221"/>
    <w:rsid w:val="0059694B"/>
    <w:rsid w:val="005A20DE"/>
    <w:rsid w:val="005A2AE1"/>
    <w:rsid w:val="005A578E"/>
    <w:rsid w:val="005A7920"/>
    <w:rsid w:val="005B13C2"/>
    <w:rsid w:val="005B3703"/>
    <w:rsid w:val="005B4790"/>
    <w:rsid w:val="005B5478"/>
    <w:rsid w:val="005B58C4"/>
    <w:rsid w:val="005B7E4A"/>
    <w:rsid w:val="005C07AD"/>
    <w:rsid w:val="005C52F8"/>
    <w:rsid w:val="005C53EA"/>
    <w:rsid w:val="005C6ACC"/>
    <w:rsid w:val="005D0685"/>
    <w:rsid w:val="005D0C57"/>
    <w:rsid w:val="005D3CC4"/>
    <w:rsid w:val="005D519F"/>
    <w:rsid w:val="005E01A9"/>
    <w:rsid w:val="005E0E43"/>
    <w:rsid w:val="005E32AD"/>
    <w:rsid w:val="005E46C4"/>
    <w:rsid w:val="005F0024"/>
    <w:rsid w:val="005F0064"/>
    <w:rsid w:val="005F0FAD"/>
    <w:rsid w:val="006020E3"/>
    <w:rsid w:val="00604722"/>
    <w:rsid w:val="00604C79"/>
    <w:rsid w:val="00607586"/>
    <w:rsid w:val="00612E05"/>
    <w:rsid w:val="00614F69"/>
    <w:rsid w:val="00620131"/>
    <w:rsid w:val="00621E3F"/>
    <w:rsid w:val="006262F1"/>
    <w:rsid w:val="00633FEC"/>
    <w:rsid w:val="0063590C"/>
    <w:rsid w:val="0063618F"/>
    <w:rsid w:val="00641C5C"/>
    <w:rsid w:val="00642A58"/>
    <w:rsid w:val="0064502B"/>
    <w:rsid w:val="006471C0"/>
    <w:rsid w:val="00647E50"/>
    <w:rsid w:val="00660697"/>
    <w:rsid w:val="006617DF"/>
    <w:rsid w:val="00664464"/>
    <w:rsid w:val="00665217"/>
    <w:rsid w:val="00665549"/>
    <w:rsid w:val="006701B6"/>
    <w:rsid w:val="006807FF"/>
    <w:rsid w:val="00682A08"/>
    <w:rsid w:val="00682B23"/>
    <w:rsid w:val="0068326B"/>
    <w:rsid w:val="00686D21"/>
    <w:rsid w:val="00696045"/>
    <w:rsid w:val="00696BC4"/>
    <w:rsid w:val="006A28D3"/>
    <w:rsid w:val="006A4BCD"/>
    <w:rsid w:val="006B18C6"/>
    <w:rsid w:val="006B374F"/>
    <w:rsid w:val="006B3FDB"/>
    <w:rsid w:val="006B4BA3"/>
    <w:rsid w:val="006B65C1"/>
    <w:rsid w:val="006B66E6"/>
    <w:rsid w:val="006B6D75"/>
    <w:rsid w:val="006B6EC2"/>
    <w:rsid w:val="006B7050"/>
    <w:rsid w:val="006C58D5"/>
    <w:rsid w:val="006C72A0"/>
    <w:rsid w:val="006D1FCC"/>
    <w:rsid w:val="006D3F91"/>
    <w:rsid w:val="006D62D5"/>
    <w:rsid w:val="006D6507"/>
    <w:rsid w:val="006D708B"/>
    <w:rsid w:val="006E0111"/>
    <w:rsid w:val="006E160A"/>
    <w:rsid w:val="006E2643"/>
    <w:rsid w:val="006E3763"/>
    <w:rsid w:val="006E5FC1"/>
    <w:rsid w:val="006F183A"/>
    <w:rsid w:val="006F225E"/>
    <w:rsid w:val="006F3DD6"/>
    <w:rsid w:val="006F48AA"/>
    <w:rsid w:val="006F5106"/>
    <w:rsid w:val="006F6F45"/>
    <w:rsid w:val="00702356"/>
    <w:rsid w:val="007045ED"/>
    <w:rsid w:val="00704676"/>
    <w:rsid w:val="007051B0"/>
    <w:rsid w:val="0071085B"/>
    <w:rsid w:val="007124E7"/>
    <w:rsid w:val="00712D00"/>
    <w:rsid w:val="007209CD"/>
    <w:rsid w:val="0072248B"/>
    <w:rsid w:val="007226B8"/>
    <w:rsid w:val="0073135A"/>
    <w:rsid w:val="007320CF"/>
    <w:rsid w:val="007334FF"/>
    <w:rsid w:val="00747C07"/>
    <w:rsid w:val="00750C72"/>
    <w:rsid w:val="00752D85"/>
    <w:rsid w:val="00754964"/>
    <w:rsid w:val="007575EF"/>
    <w:rsid w:val="00757FC1"/>
    <w:rsid w:val="00761CC6"/>
    <w:rsid w:val="00765CE8"/>
    <w:rsid w:val="00766129"/>
    <w:rsid w:val="00766B2A"/>
    <w:rsid w:val="00770E18"/>
    <w:rsid w:val="0077223A"/>
    <w:rsid w:val="00774086"/>
    <w:rsid w:val="00775A74"/>
    <w:rsid w:val="00777E51"/>
    <w:rsid w:val="0078571D"/>
    <w:rsid w:val="00791046"/>
    <w:rsid w:val="00791337"/>
    <w:rsid w:val="00791756"/>
    <w:rsid w:val="00791E70"/>
    <w:rsid w:val="007A05B8"/>
    <w:rsid w:val="007A15C2"/>
    <w:rsid w:val="007A18DE"/>
    <w:rsid w:val="007A1F3A"/>
    <w:rsid w:val="007A3B59"/>
    <w:rsid w:val="007A66B0"/>
    <w:rsid w:val="007B09E2"/>
    <w:rsid w:val="007B0BFC"/>
    <w:rsid w:val="007B387F"/>
    <w:rsid w:val="007B6ED1"/>
    <w:rsid w:val="007B7054"/>
    <w:rsid w:val="007C03CB"/>
    <w:rsid w:val="007C0EAC"/>
    <w:rsid w:val="007C237F"/>
    <w:rsid w:val="007C2B28"/>
    <w:rsid w:val="007C3941"/>
    <w:rsid w:val="007C3A19"/>
    <w:rsid w:val="007C3AB2"/>
    <w:rsid w:val="007C43B5"/>
    <w:rsid w:val="007C5265"/>
    <w:rsid w:val="007C75D2"/>
    <w:rsid w:val="007D06AE"/>
    <w:rsid w:val="007D1C11"/>
    <w:rsid w:val="007D3D2A"/>
    <w:rsid w:val="007D4374"/>
    <w:rsid w:val="007D50F3"/>
    <w:rsid w:val="007D7D33"/>
    <w:rsid w:val="007E2705"/>
    <w:rsid w:val="007E5185"/>
    <w:rsid w:val="007E52DF"/>
    <w:rsid w:val="007F084A"/>
    <w:rsid w:val="007F1CE5"/>
    <w:rsid w:val="007F2510"/>
    <w:rsid w:val="007F2569"/>
    <w:rsid w:val="007F6836"/>
    <w:rsid w:val="0080032E"/>
    <w:rsid w:val="008031FC"/>
    <w:rsid w:val="0080418A"/>
    <w:rsid w:val="00805F60"/>
    <w:rsid w:val="00807E68"/>
    <w:rsid w:val="00811C3B"/>
    <w:rsid w:val="00814F2C"/>
    <w:rsid w:val="00815334"/>
    <w:rsid w:val="00817387"/>
    <w:rsid w:val="00823E13"/>
    <w:rsid w:val="00825B74"/>
    <w:rsid w:val="0083246C"/>
    <w:rsid w:val="008324F4"/>
    <w:rsid w:val="00832B12"/>
    <w:rsid w:val="00834F74"/>
    <w:rsid w:val="008350DD"/>
    <w:rsid w:val="00847877"/>
    <w:rsid w:val="00847A4B"/>
    <w:rsid w:val="00850471"/>
    <w:rsid w:val="008557AA"/>
    <w:rsid w:val="00857F3A"/>
    <w:rsid w:val="00862F10"/>
    <w:rsid w:val="00864D45"/>
    <w:rsid w:val="00871BBA"/>
    <w:rsid w:val="008846AF"/>
    <w:rsid w:val="00887CDD"/>
    <w:rsid w:val="00893B8D"/>
    <w:rsid w:val="008A312E"/>
    <w:rsid w:val="008A6D7A"/>
    <w:rsid w:val="008B239C"/>
    <w:rsid w:val="008B375A"/>
    <w:rsid w:val="008C0B09"/>
    <w:rsid w:val="008C1C25"/>
    <w:rsid w:val="008C1DBB"/>
    <w:rsid w:val="008C1DE6"/>
    <w:rsid w:val="008C3FC9"/>
    <w:rsid w:val="008C5C8B"/>
    <w:rsid w:val="008C6BBE"/>
    <w:rsid w:val="008D1385"/>
    <w:rsid w:val="008D3DA6"/>
    <w:rsid w:val="008D4572"/>
    <w:rsid w:val="008D6DD6"/>
    <w:rsid w:val="008E6003"/>
    <w:rsid w:val="008F01A0"/>
    <w:rsid w:val="008F1DCA"/>
    <w:rsid w:val="008F42DF"/>
    <w:rsid w:val="00900D6A"/>
    <w:rsid w:val="00901CFF"/>
    <w:rsid w:val="00905EE0"/>
    <w:rsid w:val="009060E5"/>
    <w:rsid w:val="009107CA"/>
    <w:rsid w:val="00910D11"/>
    <w:rsid w:val="00913DC3"/>
    <w:rsid w:val="00915907"/>
    <w:rsid w:val="00923711"/>
    <w:rsid w:val="00925DCA"/>
    <w:rsid w:val="0093051F"/>
    <w:rsid w:val="00930B89"/>
    <w:rsid w:val="00932B0B"/>
    <w:rsid w:val="00933BBD"/>
    <w:rsid w:val="00937FA8"/>
    <w:rsid w:val="00940ACF"/>
    <w:rsid w:val="009433A8"/>
    <w:rsid w:val="00943D16"/>
    <w:rsid w:val="00946F9F"/>
    <w:rsid w:val="00951D1E"/>
    <w:rsid w:val="0095408E"/>
    <w:rsid w:val="00954A0F"/>
    <w:rsid w:val="00956DD0"/>
    <w:rsid w:val="00963C5E"/>
    <w:rsid w:val="009658CE"/>
    <w:rsid w:val="0096702B"/>
    <w:rsid w:val="00970485"/>
    <w:rsid w:val="00973410"/>
    <w:rsid w:val="00973F9D"/>
    <w:rsid w:val="009752C7"/>
    <w:rsid w:val="0097732A"/>
    <w:rsid w:val="00977691"/>
    <w:rsid w:val="00982FDC"/>
    <w:rsid w:val="009848A7"/>
    <w:rsid w:val="00987F32"/>
    <w:rsid w:val="00987F74"/>
    <w:rsid w:val="00990499"/>
    <w:rsid w:val="00990BE3"/>
    <w:rsid w:val="00991DF1"/>
    <w:rsid w:val="00991E04"/>
    <w:rsid w:val="00995461"/>
    <w:rsid w:val="00996C0C"/>
    <w:rsid w:val="009A083E"/>
    <w:rsid w:val="009A100B"/>
    <w:rsid w:val="009A1197"/>
    <w:rsid w:val="009A4957"/>
    <w:rsid w:val="009A4C5B"/>
    <w:rsid w:val="009A621B"/>
    <w:rsid w:val="009B36AD"/>
    <w:rsid w:val="009B3A04"/>
    <w:rsid w:val="009B3D0B"/>
    <w:rsid w:val="009B51A1"/>
    <w:rsid w:val="009C0A2C"/>
    <w:rsid w:val="009C11A2"/>
    <w:rsid w:val="009C1597"/>
    <w:rsid w:val="009C1913"/>
    <w:rsid w:val="009C3490"/>
    <w:rsid w:val="009C3704"/>
    <w:rsid w:val="009C3B08"/>
    <w:rsid w:val="009C40E2"/>
    <w:rsid w:val="009C63E9"/>
    <w:rsid w:val="009C7AFA"/>
    <w:rsid w:val="009D051B"/>
    <w:rsid w:val="009D18A7"/>
    <w:rsid w:val="009D1AF2"/>
    <w:rsid w:val="009D1CD5"/>
    <w:rsid w:val="009D2932"/>
    <w:rsid w:val="009D5F77"/>
    <w:rsid w:val="009D6C06"/>
    <w:rsid w:val="009E1841"/>
    <w:rsid w:val="009E2541"/>
    <w:rsid w:val="009E6CD7"/>
    <w:rsid w:val="009F2757"/>
    <w:rsid w:val="009F56B2"/>
    <w:rsid w:val="009F5A11"/>
    <w:rsid w:val="009F6881"/>
    <w:rsid w:val="009F70D7"/>
    <w:rsid w:val="009F77CB"/>
    <w:rsid w:val="00A0056E"/>
    <w:rsid w:val="00A00597"/>
    <w:rsid w:val="00A13281"/>
    <w:rsid w:val="00A15676"/>
    <w:rsid w:val="00A17E61"/>
    <w:rsid w:val="00A17FD2"/>
    <w:rsid w:val="00A23AF4"/>
    <w:rsid w:val="00A30FDC"/>
    <w:rsid w:val="00A3195C"/>
    <w:rsid w:val="00A32333"/>
    <w:rsid w:val="00A32E0D"/>
    <w:rsid w:val="00A3375C"/>
    <w:rsid w:val="00A3472B"/>
    <w:rsid w:val="00A34F66"/>
    <w:rsid w:val="00A373EC"/>
    <w:rsid w:val="00A40C9B"/>
    <w:rsid w:val="00A40EB9"/>
    <w:rsid w:val="00A43807"/>
    <w:rsid w:val="00A443EF"/>
    <w:rsid w:val="00A47168"/>
    <w:rsid w:val="00A5341E"/>
    <w:rsid w:val="00A578B6"/>
    <w:rsid w:val="00A62A5B"/>
    <w:rsid w:val="00A6547C"/>
    <w:rsid w:val="00A66A67"/>
    <w:rsid w:val="00A67122"/>
    <w:rsid w:val="00A6748A"/>
    <w:rsid w:val="00A70318"/>
    <w:rsid w:val="00A714DF"/>
    <w:rsid w:val="00A8315D"/>
    <w:rsid w:val="00A83E1D"/>
    <w:rsid w:val="00A8553C"/>
    <w:rsid w:val="00A908FC"/>
    <w:rsid w:val="00A917CD"/>
    <w:rsid w:val="00A92F77"/>
    <w:rsid w:val="00A93A19"/>
    <w:rsid w:val="00A93D3E"/>
    <w:rsid w:val="00A97AF4"/>
    <w:rsid w:val="00AA693F"/>
    <w:rsid w:val="00AA6D6E"/>
    <w:rsid w:val="00AB60BC"/>
    <w:rsid w:val="00AB79CF"/>
    <w:rsid w:val="00AC0C27"/>
    <w:rsid w:val="00AC1853"/>
    <w:rsid w:val="00AC207B"/>
    <w:rsid w:val="00AC2350"/>
    <w:rsid w:val="00AC56F7"/>
    <w:rsid w:val="00AC5F42"/>
    <w:rsid w:val="00AC63F7"/>
    <w:rsid w:val="00AC6B61"/>
    <w:rsid w:val="00AD0857"/>
    <w:rsid w:val="00AD1E75"/>
    <w:rsid w:val="00AD53C5"/>
    <w:rsid w:val="00AD691C"/>
    <w:rsid w:val="00AE03A6"/>
    <w:rsid w:val="00AE0457"/>
    <w:rsid w:val="00AE250B"/>
    <w:rsid w:val="00AE36DA"/>
    <w:rsid w:val="00AE6812"/>
    <w:rsid w:val="00AF1243"/>
    <w:rsid w:val="00AF224E"/>
    <w:rsid w:val="00AF78E0"/>
    <w:rsid w:val="00AF7B57"/>
    <w:rsid w:val="00AF7C0C"/>
    <w:rsid w:val="00B01F4D"/>
    <w:rsid w:val="00B03ED6"/>
    <w:rsid w:val="00B061BA"/>
    <w:rsid w:val="00B06491"/>
    <w:rsid w:val="00B0649B"/>
    <w:rsid w:val="00B06866"/>
    <w:rsid w:val="00B10362"/>
    <w:rsid w:val="00B12F9D"/>
    <w:rsid w:val="00B146A4"/>
    <w:rsid w:val="00B200AE"/>
    <w:rsid w:val="00B226C4"/>
    <w:rsid w:val="00B262A2"/>
    <w:rsid w:val="00B26513"/>
    <w:rsid w:val="00B27D5E"/>
    <w:rsid w:val="00B33588"/>
    <w:rsid w:val="00B34C88"/>
    <w:rsid w:val="00B373EB"/>
    <w:rsid w:val="00B4190F"/>
    <w:rsid w:val="00B427A7"/>
    <w:rsid w:val="00B43731"/>
    <w:rsid w:val="00B43ADF"/>
    <w:rsid w:val="00B44D01"/>
    <w:rsid w:val="00B459C1"/>
    <w:rsid w:val="00B46527"/>
    <w:rsid w:val="00B47A0F"/>
    <w:rsid w:val="00B55FC0"/>
    <w:rsid w:val="00B568C8"/>
    <w:rsid w:val="00B62D7B"/>
    <w:rsid w:val="00B725C7"/>
    <w:rsid w:val="00B80B06"/>
    <w:rsid w:val="00B81736"/>
    <w:rsid w:val="00B839C7"/>
    <w:rsid w:val="00B935DE"/>
    <w:rsid w:val="00B93BEA"/>
    <w:rsid w:val="00B96DE1"/>
    <w:rsid w:val="00B9784A"/>
    <w:rsid w:val="00BA1E64"/>
    <w:rsid w:val="00BA38C9"/>
    <w:rsid w:val="00BB065D"/>
    <w:rsid w:val="00BB2613"/>
    <w:rsid w:val="00BB2773"/>
    <w:rsid w:val="00BB2E86"/>
    <w:rsid w:val="00BB5187"/>
    <w:rsid w:val="00BB72F5"/>
    <w:rsid w:val="00BB7906"/>
    <w:rsid w:val="00BC0893"/>
    <w:rsid w:val="00BC18B6"/>
    <w:rsid w:val="00BC47C6"/>
    <w:rsid w:val="00BC4988"/>
    <w:rsid w:val="00BD7790"/>
    <w:rsid w:val="00BD7B0C"/>
    <w:rsid w:val="00BE0FA5"/>
    <w:rsid w:val="00BE3954"/>
    <w:rsid w:val="00BE438F"/>
    <w:rsid w:val="00BE4E15"/>
    <w:rsid w:val="00BE711A"/>
    <w:rsid w:val="00BF12B7"/>
    <w:rsid w:val="00BF130B"/>
    <w:rsid w:val="00BF597B"/>
    <w:rsid w:val="00C0007B"/>
    <w:rsid w:val="00C0025B"/>
    <w:rsid w:val="00C0128D"/>
    <w:rsid w:val="00C02E6A"/>
    <w:rsid w:val="00C05CEE"/>
    <w:rsid w:val="00C0672A"/>
    <w:rsid w:val="00C100D2"/>
    <w:rsid w:val="00C10477"/>
    <w:rsid w:val="00C1242A"/>
    <w:rsid w:val="00C126F4"/>
    <w:rsid w:val="00C12C62"/>
    <w:rsid w:val="00C131BA"/>
    <w:rsid w:val="00C2115D"/>
    <w:rsid w:val="00C21765"/>
    <w:rsid w:val="00C2263C"/>
    <w:rsid w:val="00C264AF"/>
    <w:rsid w:val="00C277F9"/>
    <w:rsid w:val="00C31128"/>
    <w:rsid w:val="00C3270C"/>
    <w:rsid w:val="00C3452C"/>
    <w:rsid w:val="00C40CCD"/>
    <w:rsid w:val="00C44581"/>
    <w:rsid w:val="00C46423"/>
    <w:rsid w:val="00C5110F"/>
    <w:rsid w:val="00C52F21"/>
    <w:rsid w:val="00C542C8"/>
    <w:rsid w:val="00C61E41"/>
    <w:rsid w:val="00C64FE7"/>
    <w:rsid w:val="00C66B60"/>
    <w:rsid w:val="00C70B19"/>
    <w:rsid w:val="00C725E0"/>
    <w:rsid w:val="00C749C0"/>
    <w:rsid w:val="00C76155"/>
    <w:rsid w:val="00C77AC5"/>
    <w:rsid w:val="00C811E9"/>
    <w:rsid w:val="00C81E8D"/>
    <w:rsid w:val="00C82E4A"/>
    <w:rsid w:val="00C83797"/>
    <w:rsid w:val="00C8458E"/>
    <w:rsid w:val="00C850E9"/>
    <w:rsid w:val="00C863FD"/>
    <w:rsid w:val="00C9017D"/>
    <w:rsid w:val="00C90BC0"/>
    <w:rsid w:val="00C92A94"/>
    <w:rsid w:val="00C95CB2"/>
    <w:rsid w:val="00C9730C"/>
    <w:rsid w:val="00C9782B"/>
    <w:rsid w:val="00C97B86"/>
    <w:rsid w:val="00C97EDB"/>
    <w:rsid w:val="00CA3A64"/>
    <w:rsid w:val="00CB4506"/>
    <w:rsid w:val="00CB5635"/>
    <w:rsid w:val="00CB626E"/>
    <w:rsid w:val="00CB7EB2"/>
    <w:rsid w:val="00CC66AF"/>
    <w:rsid w:val="00CC7483"/>
    <w:rsid w:val="00CD07E9"/>
    <w:rsid w:val="00CD1469"/>
    <w:rsid w:val="00CD2804"/>
    <w:rsid w:val="00CD43BB"/>
    <w:rsid w:val="00CD599A"/>
    <w:rsid w:val="00CD6943"/>
    <w:rsid w:val="00CD6CA7"/>
    <w:rsid w:val="00CD6D3E"/>
    <w:rsid w:val="00CD7DA0"/>
    <w:rsid w:val="00CE0BB4"/>
    <w:rsid w:val="00CE396D"/>
    <w:rsid w:val="00CE71D7"/>
    <w:rsid w:val="00CF043C"/>
    <w:rsid w:val="00CF144A"/>
    <w:rsid w:val="00CF184E"/>
    <w:rsid w:val="00CF4B63"/>
    <w:rsid w:val="00CF5C99"/>
    <w:rsid w:val="00CF7203"/>
    <w:rsid w:val="00D0563B"/>
    <w:rsid w:val="00D12C62"/>
    <w:rsid w:val="00D149F0"/>
    <w:rsid w:val="00D152DD"/>
    <w:rsid w:val="00D16E0B"/>
    <w:rsid w:val="00D22AE1"/>
    <w:rsid w:val="00D25CC9"/>
    <w:rsid w:val="00D30B88"/>
    <w:rsid w:val="00D326C1"/>
    <w:rsid w:val="00D34C7C"/>
    <w:rsid w:val="00D35000"/>
    <w:rsid w:val="00D35C09"/>
    <w:rsid w:val="00D4087C"/>
    <w:rsid w:val="00D40CEE"/>
    <w:rsid w:val="00D41186"/>
    <w:rsid w:val="00D4411B"/>
    <w:rsid w:val="00D44A67"/>
    <w:rsid w:val="00D46903"/>
    <w:rsid w:val="00D46EA2"/>
    <w:rsid w:val="00D54442"/>
    <w:rsid w:val="00D56058"/>
    <w:rsid w:val="00D57B4F"/>
    <w:rsid w:val="00D609EB"/>
    <w:rsid w:val="00D64AC6"/>
    <w:rsid w:val="00D65168"/>
    <w:rsid w:val="00D653AD"/>
    <w:rsid w:val="00D707FF"/>
    <w:rsid w:val="00D76492"/>
    <w:rsid w:val="00D77A10"/>
    <w:rsid w:val="00D77EC8"/>
    <w:rsid w:val="00D8067D"/>
    <w:rsid w:val="00D8346E"/>
    <w:rsid w:val="00D846BE"/>
    <w:rsid w:val="00D85EC7"/>
    <w:rsid w:val="00D87246"/>
    <w:rsid w:val="00D93A94"/>
    <w:rsid w:val="00D93EF0"/>
    <w:rsid w:val="00D94815"/>
    <w:rsid w:val="00D97A19"/>
    <w:rsid w:val="00D97EDD"/>
    <w:rsid w:val="00DA3012"/>
    <w:rsid w:val="00DA37A1"/>
    <w:rsid w:val="00DA70CB"/>
    <w:rsid w:val="00DA7112"/>
    <w:rsid w:val="00DB0C2B"/>
    <w:rsid w:val="00DB2045"/>
    <w:rsid w:val="00DB3865"/>
    <w:rsid w:val="00DB4AC9"/>
    <w:rsid w:val="00DB557C"/>
    <w:rsid w:val="00DB7998"/>
    <w:rsid w:val="00DC15E3"/>
    <w:rsid w:val="00DC1BB1"/>
    <w:rsid w:val="00DC5F34"/>
    <w:rsid w:val="00DD2B99"/>
    <w:rsid w:val="00DD3B06"/>
    <w:rsid w:val="00DD43A2"/>
    <w:rsid w:val="00DD52B5"/>
    <w:rsid w:val="00DD5B49"/>
    <w:rsid w:val="00DE2915"/>
    <w:rsid w:val="00DE37E3"/>
    <w:rsid w:val="00DF445C"/>
    <w:rsid w:val="00DF4E68"/>
    <w:rsid w:val="00DF5FAE"/>
    <w:rsid w:val="00DF680A"/>
    <w:rsid w:val="00E01C3E"/>
    <w:rsid w:val="00E06C15"/>
    <w:rsid w:val="00E06E73"/>
    <w:rsid w:val="00E07B38"/>
    <w:rsid w:val="00E10FE0"/>
    <w:rsid w:val="00E15D56"/>
    <w:rsid w:val="00E16E5F"/>
    <w:rsid w:val="00E20F5E"/>
    <w:rsid w:val="00E24837"/>
    <w:rsid w:val="00E26D95"/>
    <w:rsid w:val="00E31625"/>
    <w:rsid w:val="00E3366E"/>
    <w:rsid w:val="00E377E8"/>
    <w:rsid w:val="00E37C47"/>
    <w:rsid w:val="00E44514"/>
    <w:rsid w:val="00E446F6"/>
    <w:rsid w:val="00E44A34"/>
    <w:rsid w:val="00E453CC"/>
    <w:rsid w:val="00E4542F"/>
    <w:rsid w:val="00E4619F"/>
    <w:rsid w:val="00E53758"/>
    <w:rsid w:val="00E5393B"/>
    <w:rsid w:val="00E55BFC"/>
    <w:rsid w:val="00E57F8B"/>
    <w:rsid w:val="00E60B43"/>
    <w:rsid w:val="00E623D9"/>
    <w:rsid w:val="00E63E81"/>
    <w:rsid w:val="00E64AB0"/>
    <w:rsid w:val="00E6565E"/>
    <w:rsid w:val="00E71EA5"/>
    <w:rsid w:val="00E72CAB"/>
    <w:rsid w:val="00E73208"/>
    <w:rsid w:val="00E776DC"/>
    <w:rsid w:val="00E8333D"/>
    <w:rsid w:val="00E9365D"/>
    <w:rsid w:val="00E93DA0"/>
    <w:rsid w:val="00E9400A"/>
    <w:rsid w:val="00E941E1"/>
    <w:rsid w:val="00E96760"/>
    <w:rsid w:val="00EA0844"/>
    <w:rsid w:val="00EA1B0D"/>
    <w:rsid w:val="00EA22D2"/>
    <w:rsid w:val="00EA369C"/>
    <w:rsid w:val="00EA6319"/>
    <w:rsid w:val="00EA66C5"/>
    <w:rsid w:val="00EB66AB"/>
    <w:rsid w:val="00EC20A0"/>
    <w:rsid w:val="00EC25D7"/>
    <w:rsid w:val="00EC2740"/>
    <w:rsid w:val="00EC31B3"/>
    <w:rsid w:val="00EC3A31"/>
    <w:rsid w:val="00EC62B8"/>
    <w:rsid w:val="00EC6EAE"/>
    <w:rsid w:val="00EC77C3"/>
    <w:rsid w:val="00EC7816"/>
    <w:rsid w:val="00ED6A91"/>
    <w:rsid w:val="00ED6C90"/>
    <w:rsid w:val="00EE2567"/>
    <w:rsid w:val="00EE2E8B"/>
    <w:rsid w:val="00EE2F61"/>
    <w:rsid w:val="00EE7CA8"/>
    <w:rsid w:val="00EF779B"/>
    <w:rsid w:val="00F0078B"/>
    <w:rsid w:val="00F052AA"/>
    <w:rsid w:val="00F05891"/>
    <w:rsid w:val="00F061F1"/>
    <w:rsid w:val="00F064FF"/>
    <w:rsid w:val="00F06DBA"/>
    <w:rsid w:val="00F12954"/>
    <w:rsid w:val="00F135FD"/>
    <w:rsid w:val="00F163A8"/>
    <w:rsid w:val="00F178E3"/>
    <w:rsid w:val="00F21AA5"/>
    <w:rsid w:val="00F24321"/>
    <w:rsid w:val="00F26FC6"/>
    <w:rsid w:val="00F273E5"/>
    <w:rsid w:val="00F27AF8"/>
    <w:rsid w:val="00F30EF9"/>
    <w:rsid w:val="00F31C07"/>
    <w:rsid w:val="00F331A2"/>
    <w:rsid w:val="00F3780F"/>
    <w:rsid w:val="00F41D39"/>
    <w:rsid w:val="00F41FBB"/>
    <w:rsid w:val="00F42AA6"/>
    <w:rsid w:val="00F51D51"/>
    <w:rsid w:val="00F52D16"/>
    <w:rsid w:val="00F53176"/>
    <w:rsid w:val="00F557A0"/>
    <w:rsid w:val="00F6374A"/>
    <w:rsid w:val="00F6399D"/>
    <w:rsid w:val="00F66A0A"/>
    <w:rsid w:val="00F6712D"/>
    <w:rsid w:val="00F740C6"/>
    <w:rsid w:val="00F744DA"/>
    <w:rsid w:val="00F76B8B"/>
    <w:rsid w:val="00F811AA"/>
    <w:rsid w:val="00F84B1A"/>
    <w:rsid w:val="00F86FD6"/>
    <w:rsid w:val="00F91CA6"/>
    <w:rsid w:val="00F91EED"/>
    <w:rsid w:val="00F949BC"/>
    <w:rsid w:val="00F94A27"/>
    <w:rsid w:val="00F97926"/>
    <w:rsid w:val="00FA3B1D"/>
    <w:rsid w:val="00FA66C4"/>
    <w:rsid w:val="00FB02A0"/>
    <w:rsid w:val="00FB11EC"/>
    <w:rsid w:val="00FC1DF2"/>
    <w:rsid w:val="00FC1EAA"/>
    <w:rsid w:val="00FC5D6E"/>
    <w:rsid w:val="00FC6139"/>
    <w:rsid w:val="00FC7EF8"/>
    <w:rsid w:val="00FE0A56"/>
    <w:rsid w:val="00FE1421"/>
    <w:rsid w:val="00FF0684"/>
    <w:rsid w:val="00FF3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72"/>
    <w:rPr>
      <w:rFonts w:ascii="Arial" w:eastAsia="Times New Roman" w:hAnsi="Arial"/>
      <w:sz w:val="24"/>
      <w:lang w:val="en-GB"/>
    </w:rPr>
  </w:style>
  <w:style w:type="paragraph" w:styleId="Heading1">
    <w:name w:val="heading 1"/>
    <w:basedOn w:val="Normal"/>
    <w:next w:val="Normal"/>
    <w:link w:val="Heading1Char"/>
    <w:qFormat/>
    <w:rsid w:val="00AC56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2EC"/>
    <w:pPr>
      <w:tabs>
        <w:tab w:val="center" w:pos="4819"/>
        <w:tab w:val="right" w:pos="9071"/>
      </w:tabs>
    </w:pPr>
  </w:style>
  <w:style w:type="character" w:customStyle="1" w:styleId="HeaderChar">
    <w:name w:val="Header Char"/>
    <w:basedOn w:val="DefaultParagraphFont"/>
    <w:link w:val="Header"/>
    <w:rsid w:val="003442EC"/>
    <w:rPr>
      <w:rFonts w:ascii="Arial" w:eastAsia="Times New Roman" w:hAnsi="Arial" w:cs="Times New Roman"/>
      <w:sz w:val="24"/>
      <w:szCs w:val="20"/>
      <w:lang w:val="en-GB" w:eastAsia="en-AU"/>
    </w:rPr>
  </w:style>
  <w:style w:type="character" w:styleId="PageNumber">
    <w:name w:val="page number"/>
    <w:basedOn w:val="DefaultParagraphFont"/>
    <w:rsid w:val="003442EC"/>
  </w:style>
  <w:style w:type="paragraph" w:styleId="ListParagraph">
    <w:name w:val="List Paragraph"/>
    <w:basedOn w:val="Normal"/>
    <w:uiPriority w:val="34"/>
    <w:qFormat/>
    <w:rsid w:val="003442EC"/>
    <w:pPr>
      <w:ind w:left="720"/>
      <w:contextualSpacing/>
    </w:pPr>
  </w:style>
  <w:style w:type="character" w:styleId="Hyperlink">
    <w:name w:val="Hyperlink"/>
    <w:basedOn w:val="DefaultParagraphFont"/>
    <w:uiPriority w:val="99"/>
    <w:rsid w:val="003442EC"/>
    <w:rPr>
      <w:color w:val="0000FF"/>
      <w:u w:val="single"/>
    </w:rPr>
  </w:style>
  <w:style w:type="paragraph" w:styleId="FootnoteText">
    <w:name w:val="footnote text"/>
    <w:basedOn w:val="Normal"/>
    <w:link w:val="FootnoteTextChar"/>
    <w:uiPriority w:val="99"/>
    <w:rsid w:val="003442EC"/>
    <w:rPr>
      <w:sz w:val="20"/>
    </w:rPr>
  </w:style>
  <w:style w:type="character" w:customStyle="1" w:styleId="FootnoteTextChar">
    <w:name w:val="Footnote Text Char"/>
    <w:basedOn w:val="DefaultParagraphFont"/>
    <w:link w:val="FootnoteText"/>
    <w:uiPriority w:val="99"/>
    <w:rsid w:val="003442EC"/>
    <w:rPr>
      <w:rFonts w:ascii="Arial" w:eastAsia="Times New Roman" w:hAnsi="Arial" w:cs="Times New Roman"/>
      <w:sz w:val="20"/>
      <w:szCs w:val="20"/>
      <w:lang w:val="en-GB" w:eastAsia="en-AU"/>
    </w:rPr>
  </w:style>
  <w:style w:type="character" w:styleId="FootnoteReference">
    <w:name w:val="footnote reference"/>
    <w:basedOn w:val="DefaultParagraphFont"/>
    <w:uiPriority w:val="99"/>
    <w:rsid w:val="003442EC"/>
    <w:rPr>
      <w:vertAlign w:val="superscript"/>
    </w:rPr>
  </w:style>
  <w:style w:type="paragraph" w:styleId="NoSpacing">
    <w:name w:val="No Spacing"/>
    <w:uiPriority w:val="1"/>
    <w:qFormat/>
    <w:rsid w:val="003442EC"/>
    <w:rPr>
      <w:sz w:val="22"/>
      <w:szCs w:val="22"/>
      <w:lang w:eastAsia="en-US"/>
    </w:rPr>
  </w:style>
  <w:style w:type="paragraph" w:styleId="BalloonText">
    <w:name w:val="Balloon Text"/>
    <w:basedOn w:val="Normal"/>
    <w:link w:val="BalloonTextChar"/>
    <w:uiPriority w:val="99"/>
    <w:semiHidden/>
    <w:unhideWhenUsed/>
    <w:rsid w:val="003442EC"/>
    <w:rPr>
      <w:rFonts w:ascii="Tahoma" w:hAnsi="Tahoma" w:cs="Tahoma"/>
      <w:sz w:val="16"/>
      <w:szCs w:val="16"/>
    </w:rPr>
  </w:style>
  <w:style w:type="character" w:customStyle="1" w:styleId="BalloonTextChar">
    <w:name w:val="Balloon Text Char"/>
    <w:basedOn w:val="DefaultParagraphFont"/>
    <w:link w:val="BalloonText"/>
    <w:uiPriority w:val="99"/>
    <w:semiHidden/>
    <w:rsid w:val="003442EC"/>
    <w:rPr>
      <w:rFonts w:ascii="Tahoma" w:eastAsia="Times New Roman" w:hAnsi="Tahoma" w:cs="Tahoma"/>
      <w:sz w:val="16"/>
      <w:szCs w:val="16"/>
      <w:lang w:val="en-GB" w:eastAsia="en-AU"/>
    </w:rPr>
  </w:style>
  <w:style w:type="paragraph" w:styleId="Footer">
    <w:name w:val="footer"/>
    <w:basedOn w:val="Normal"/>
    <w:link w:val="FooterChar"/>
    <w:uiPriority w:val="99"/>
    <w:unhideWhenUsed/>
    <w:rsid w:val="00CF7203"/>
    <w:pPr>
      <w:tabs>
        <w:tab w:val="center" w:pos="4513"/>
        <w:tab w:val="right" w:pos="9026"/>
      </w:tabs>
    </w:pPr>
  </w:style>
  <w:style w:type="character" w:customStyle="1" w:styleId="FooterChar">
    <w:name w:val="Footer Char"/>
    <w:basedOn w:val="DefaultParagraphFont"/>
    <w:link w:val="Footer"/>
    <w:uiPriority w:val="99"/>
    <w:rsid w:val="00CF7203"/>
    <w:rPr>
      <w:rFonts w:ascii="Arial" w:eastAsia="Times New Roman" w:hAnsi="Arial"/>
      <w:sz w:val="24"/>
      <w:lang w:val="en-GB"/>
    </w:rPr>
  </w:style>
  <w:style w:type="character" w:styleId="CommentReference">
    <w:name w:val="annotation reference"/>
    <w:basedOn w:val="DefaultParagraphFont"/>
    <w:uiPriority w:val="99"/>
    <w:semiHidden/>
    <w:unhideWhenUsed/>
    <w:rsid w:val="008C1DE6"/>
    <w:rPr>
      <w:sz w:val="16"/>
      <w:szCs w:val="16"/>
    </w:rPr>
  </w:style>
  <w:style w:type="paragraph" w:styleId="CommentText">
    <w:name w:val="annotation text"/>
    <w:basedOn w:val="Normal"/>
    <w:link w:val="CommentTextChar"/>
    <w:uiPriority w:val="99"/>
    <w:semiHidden/>
    <w:unhideWhenUsed/>
    <w:rsid w:val="008C1DE6"/>
    <w:rPr>
      <w:sz w:val="20"/>
    </w:rPr>
  </w:style>
  <w:style w:type="character" w:customStyle="1" w:styleId="CommentTextChar">
    <w:name w:val="Comment Text Char"/>
    <w:basedOn w:val="DefaultParagraphFont"/>
    <w:link w:val="CommentText"/>
    <w:uiPriority w:val="99"/>
    <w:semiHidden/>
    <w:rsid w:val="008C1DE6"/>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8C1DE6"/>
    <w:rPr>
      <w:b/>
      <w:bCs/>
    </w:rPr>
  </w:style>
  <w:style w:type="character" w:customStyle="1" w:styleId="CommentSubjectChar">
    <w:name w:val="Comment Subject Char"/>
    <w:basedOn w:val="CommentTextChar"/>
    <w:link w:val="CommentSubject"/>
    <w:uiPriority w:val="99"/>
    <w:semiHidden/>
    <w:rsid w:val="008C1DE6"/>
    <w:rPr>
      <w:rFonts w:ascii="Arial" w:eastAsia="Times New Roman" w:hAnsi="Arial"/>
      <w:b/>
      <w:bCs/>
      <w:lang w:val="en-GB"/>
    </w:rPr>
  </w:style>
  <w:style w:type="character" w:customStyle="1" w:styleId="Heading1Char">
    <w:name w:val="Heading 1 Char"/>
    <w:basedOn w:val="DefaultParagraphFont"/>
    <w:link w:val="Heading1"/>
    <w:rsid w:val="00AC56F7"/>
    <w:rPr>
      <w:rFonts w:ascii="Cambria" w:eastAsia="Times New Roman" w:hAnsi="Cambria"/>
      <w:b/>
      <w:bCs/>
      <w:kern w:val="32"/>
      <w:sz w:val="32"/>
      <w:szCs w:val="32"/>
      <w:lang w:val="en-GB"/>
    </w:rPr>
  </w:style>
  <w:style w:type="paragraph" w:styleId="TOCHeading">
    <w:name w:val="TOC Heading"/>
    <w:basedOn w:val="Heading1"/>
    <w:next w:val="Normal"/>
    <w:uiPriority w:val="39"/>
    <w:semiHidden/>
    <w:unhideWhenUsed/>
    <w:qFormat/>
    <w:rsid w:val="00AC56F7"/>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rsid w:val="00AC56F7"/>
  </w:style>
  <w:style w:type="character" w:styleId="FollowedHyperlink">
    <w:name w:val="FollowedHyperlink"/>
    <w:basedOn w:val="DefaultParagraphFont"/>
    <w:uiPriority w:val="99"/>
    <w:semiHidden/>
    <w:unhideWhenUsed/>
    <w:rsid w:val="00531657"/>
    <w:rPr>
      <w:color w:val="800080" w:themeColor="followedHyperlink"/>
      <w:u w:val="single"/>
    </w:rPr>
  </w:style>
  <w:style w:type="character" w:customStyle="1" w:styleId="contentossregulation">
    <w:name w:val="contentossregulation"/>
    <w:rsid w:val="00045551"/>
  </w:style>
  <w:style w:type="paragraph" w:styleId="ListNumber2">
    <w:name w:val="List Number 2"/>
    <w:basedOn w:val="Normal"/>
    <w:unhideWhenUsed/>
    <w:rsid w:val="0053591F"/>
    <w:pPr>
      <w:numPr>
        <w:ilvl w:val="1"/>
        <w:numId w:val="23"/>
      </w:numPr>
      <w:tabs>
        <w:tab w:val="left" w:pos="567"/>
      </w:tabs>
      <w:spacing w:before="120" w:after="120"/>
    </w:pPr>
    <w:rPr>
      <w:rFonts w:ascii="Garamond" w:hAnsi="Garamond"/>
      <w:sz w:val="22"/>
      <w:szCs w:val="22"/>
      <w:lang w:val="en-AU"/>
    </w:rPr>
  </w:style>
  <w:style w:type="paragraph" w:styleId="ListNumber">
    <w:name w:val="List Number"/>
    <w:basedOn w:val="Normal"/>
    <w:unhideWhenUsed/>
    <w:rsid w:val="0053591F"/>
    <w:pPr>
      <w:numPr>
        <w:numId w:val="23"/>
      </w:numPr>
      <w:pBdr>
        <w:top w:val="single" w:sz="2" w:space="1" w:color="4F6228"/>
      </w:pBdr>
      <w:tabs>
        <w:tab w:val="left" w:pos="33"/>
      </w:tabs>
      <w:spacing w:before="480" w:after="120"/>
      <w:contextualSpacing/>
    </w:pPr>
    <w:rPr>
      <w:rFonts w:ascii="Garamond" w:hAnsi="Garamond"/>
      <w:b/>
      <w:sz w:val="22"/>
      <w:szCs w:val="22"/>
      <w:lang w:val="en-AU"/>
    </w:rPr>
  </w:style>
  <w:style w:type="paragraph" w:customStyle="1" w:styleId="Default">
    <w:name w:val="Default"/>
    <w:rsid w:val="009C3704"/>
    <w:pPr>
      <w:autoSpaceDE w:val="0"/>
      <w:autoSpaceDN w:val="0"/>
      <w:adjustRightInd w:val="0"/>
    </w:pPr>
    <w:rPr>
      <w:rFonts w:ascii="AvantGarde" w:hAnsi="AvantGarde" w:cs="AvantGarde"/>
      <w:color w:val="000000"/>
      <w:sz w:val="24"/>
      <w:szCs w:val="24"/>
      <w:lang w:eastAsia="en-US"/>
    </w:rPr>
  </w:style>
  <w:style w:type="paragraph" w:styleId="NormalWeb">
    <w:name w:val="Normal (Web)"/>
    <w:basedOn w:val="Normal"/>
    <w:uiPriority w:val="99"/>
    <w:unhideWhenUsed/>
    <w:rsid w:val="00157767"/>
    <w:pPr>
      <w:spacing w:before="100" w:beforeAutospacing="1" w:after="100" w:afterAutospacing="1"/>
    </w:pPr>
    <w:rPr>
      <w:rFonts w:ascii="Times New Roman" w:hAnsi="Times New Roman"/>
      <w:szCs w:val="24"/>
      <w:lang w:val="en-AU"/>
    </w:rPr>
  </w:style>
  <w:style w:type="paragraph" w:customStyle="1" w:styleId="Bulletpoint2">
    <w:name w:val="Bullet point 2"/>
    <w:basedOn w:val="ListBullet2"/>
    <w:qFormat/>
    <w:rsid w:val="00162214"/>
    <w:pPr>
      <w:tabs>
        <w:tab w:val="num" w:pos="360"/>
      </w:tabs>
      <w:spacing w:before="120"/>
      <w:ind w:left="360"/>
    </w:pPr>
    <w:rPr>
      <w:rFonts w:eastAsia="Calibri"/>
      <w:sz w:val="22"/>
      <w:szCs w:val="22"/>
      <w:lang w:val="en-AU" w:eastAsia="en-US"/>
    </w:rPr>
  </w:style>
  <w:style w:type="paragraph" w:styleId="ListBullet2">
    <w:name w:val="List Bullet 2"/>
    <w:basedOn w:val="Normal"/>
    <w:uiPriority w:val="99"/>
    <w:semiHidden/>
    <w:unhideWhenUsed/>
    <w:rsid w:val="00162214"/>
    <w:pPr>
      <w:ind w:left="1003" w:hanging="360"/>
      <w:contextualSpacing/>
    </w:pPr>
  </w:style>
  <w:style w:type="paragraph" w:customStyle="1" w:styleId="Bulletpoint">
    <w:name w:val="Bullet point"/>
    <w:basedOn w:val="ListBullet"/>
    <w:qFormat/>
    <w:rsid w:val="00162214"/>
  </w:style>
  <w:style w:type="paragraph" w:styleId="ListBullet">
    <w:name w:val="List Bullet"/>
    <w:basedOn w:val="Normal"/>
    <w:uiPriority w:val="99"/>
    <w:semiHidden/>
    <w:unhideWhenUsed/>
    <w:rsid w:val="00162214"/>
    <w:pPr>
      <w:numPr>
        <w:numId w:val="30"/>
      </w:numPr>
      <w:spacing w:before="120"/>
      <w:contextualSpacing/>
    </w:pPr>
    <w:rPr>
      <w:rFonts w:eastAsia="Calibr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7402">
      <w:bodyDiv w:val="1"/>
      <w:marLeft w:val="0"/>
      <w:marRight w:val="0"/>
      <w:marTop w:val="0"/>
      <w:marBottom w:val="0"/>
      <w:divBdr>
        <w:top w:val="none" w:sz="0" w:space="0" w:color="auto"/>
        <w:left w:val="none" w:sz="0" w:space="0" w:color="auto"/>
        <w:bottom w:val="none" w:sz="0" w:space="0" w:color="auto"/>
        <w:right w:val="none" w:sz="0" w:space="0" w:color="auto"/>
      </w:divBdr>
    </w:div>
    <w:div w:id="1301307911">
      <w:bodyDiv w:val="1"/>
      <w:marLeft w:val="0"/>
      <w:marRight w:val="0"/>
      <w:marTop w:val="0"/>
      <w:marBottom w:val="0"/>
      <w:divBdr>
        <w:top w:val="none" w:sz="0" w:space="0" w:color="auto"/>
        <w:left w:val="none" w:sz="0" w:space="0" w:color="auto"/>
        <w:bottom w:val="none" w:sz="0" w:space="0" w:color="auto"/>
        <w:right w:val="none" w:sz="0" w:space="0" w:color="auto"/>
      </w:divBdr>
      <w:divsChild>
        <w:div w:id="1260218818">
          <w:marLeft w:val="0"/>
          <w:marRight w:val="0"/>
          <w:marTop w:val="0"/>
          <w:marBottom w:val="0"/>
          <w:divBdr>
            <w:top w:val="none" w:sz="0" w:space="0" w:color="auto"/>
            <w:left w:val="none" w:sz="0" w:space="0" w:color="auto"/>
            <w:bottom w:val="none" w:sz="0" w:space="0" w:color="auto"/>
            <w:right w:val="none" w:sz="0" w:space="0" w:color="auto"/>
          </w:divBdr>
          <w:divsChild>
            <w:div w:id="1747922656">
              <w:marLeft w:val="0"/>
              <w:marRight w:val="0"/>
              <w:marTop w:val="0"/>
              <w:marBottom w:val="0"/>
              <w:divBdr>
                <w:top w:val="none" w:sz="0" w:space="0" w:color="auto"/>
                <w:left w:val="none" w:sz="0" w:space="0" w:color="auto"/>
                <w:bottom w:val="none" w:sz="0" w:space="0" w:color="auto"/>
                <w:right w:val="none" w:sz="0" w:space="0" w:color="auto"/>
              </w:divBdr>
              <w:divsChild>
                <w:div w:id="1867208112">
                  <w:marLeft w:val="0"/>
                  <w:marRight w:val="0"/>
                  <w:marTop w:val="0"/>
                  <w:marBottom w:val="0"/>
                  <w:divBdr>
                    <w:top w:val="none" w:sz="0" w:space="0" w:color="auto"/>
                    <w:left w:val="none" w:sz="0" w:space="0" w:color="auto"/>
                    <w:bottom w:val="none" w:sz="0" w:space="0" w:color="auto"/>
                    <w:right w:val="none" w:sz="0" w:space="0" w:color="auto"/>
                  </w:divBdr>
                  <w:divsChild>
                    <w:div w:id="869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12850">
      <w:bodyDiv w:val="1"/>
      <w:marLeft w:val="0"/>
      <w:marRight w:val="0"/>
      <w:marTop w:val="0"/>
      <w:marBottom w:val="0"/>
      <w:divBdr>
        <w:top w:val="none" w:sz="0" w:space="0" w:color="auto"/>
        <w:left w:val="none" w:sz="0" w:space="0" w:color="auto"/>
        <w:bottom w:val="none" w:sz="0" w:space="0" w:color="auto"/>
        <w:right w:val="none" w:sz="0" w:space="0" w:color="auto"/>
      </w:divBdr>
      <w:divsChild>
        <w:div w:id="1544711845">
          <w:marLeft w:val="0"/>
          <w:marRight w:val="0"/>
          <w:marTop w:val="0"/>
          <w:marBottom w:val="0"/>
          <w:divBdr>
            <w:top w:val="none" w:sz="0" w:space="0" w:color="auto"/>
            <w:left w:val="none" w:sz="0" w:space="0" w:color="auto"/>
            <w:bottom w:val="none" w:sz="0" w:space="0" w:color="auto"/>
            <w:right w:val="none" w:sz="0" w:space="0" w:color="auto"/>
          </w:divBdr>
          <w:divsChild>
            <w:div w:id="2121602549">
              <w:marLeft w:val="0"/>
              <w:marRight w:val="0"/>
              <w:marTop w:val="0"/>
              <w:marBottom w:val="0"/>
              <w:divBdr>
                <w:top w:val="none" w:sz="0" w:space="0" w:color="auto"/>
                <w:left w:val="none" w:sz="0" w:space="0" w:color="auto"/>
                <w:bottom w:val="none" w:sz="0" w:space="0" w:color="auto"/>
                <w:right w:val="none" w:sz="0" w:space="0" w:color="auto"/>
              </w:divBdr>
              <w:divsChild>
                <w:div w:id="7545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roductsafety.gov.au/content/index.phtml/itemId/100788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ccc.gov.au" TargetMode="External"/><Relationship Id="rId2" Type="http://schemas.openxmlformats.org/officeDocument/2006/relationships/numbering" Target="numbering.xml"/><Relationship Id="rId16" Type="http://schemas.openxmlformats.org/officeDocument/2006/relationships/hyperlink" Target="mailto:productsafety.regulation@acc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onsultation.accc.gov.a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hild_safety_seat" TargetMode="External"/><Relationship Id="rId1" Type="http://schemas.openxmlformats.org/officeDocument/2006/relationships/hyperlink" Target="http://en.wikipedia.org/wiki/International_Organisation_for_Standard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0D4C-BD94-4AEB-8D5F-69B768A5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FB136CEA.dotm</Template>
  <TotalTime>3</TotalTime>
  <Pages>11</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27946</CharactersWithSpaces>
  <SharedDoc>false</SharedDoc>
  <HLinks>
    <vt:vector size="12" baseType="variant">
      <vt:variant>
        <vt:i4>2621485</vt:i4>
      </vt:variant>
      <vt:variant>
        <vt:i4>3</vt:i4>
      </vt:variant>
      <vt:variant>
        <vt:i4>0</vt:i4>
      </vt:variant>
      <vt:variant>
        <vt:i4>5</vt:i4>
      </vt:variant>
      <vt:variant>
        <vt:lpwstr>http://www.twitter.com/ProductSafetyAU</vt:lpwstr>
      </vt:variant>
      <vt:variant>
        <vt:lpwstr/>
      </vt:variant>
      <vt:variant>
        <vt:i4>1507422</vt:i4>
      </vt:variant>
      <vt:variant>
        <vt:i4>0</vt:i4>
      </vt:variant>
      <vt:variant>
        <vt:i4>0</vt:i4>
      </vt:variant>
      <vt:variant>
        <vt:i4>5</vt:i4>
      </vt:variant>
      <vt:variant>
        <vt:lpwstr>http://www.productsafety.gov.au/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sbell</dc:creator>
  <cp:keywords/>
  <dc:description/>
  <cp:lastModifiedBy>Scott, Ian</cp:lastModifiedBy>
  <cp:revision>4</cp:revision>
  <cp:lastPrinted>2014-06-24T04:15:00Z</cp:lastPrinted>
  <dcterms:created xsi:type="dcterms:W3CDTF">2014-06-24T04:13:00Z</dcterms:created>
  <dcterms:modified xsi:type="dcterms:W3CDTF">2014-06-24T04:16:00Z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\\SCBRFS001\home$\ISCOT\ps child restraints review con (D2014-00054040[V02]).docx</vt:lpwstr>
  </property>
  <property fmtid="{D5CDD505-2E9C-101B-9397-08002B2CF9AE}" pid="3" name="URI">
    <vt:lpwstr>8197399</vt:lpwstr>
  </property>
</Properties>
</file>